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FA66" w14:textId="757D4931" w:rsidR="00EF7DDB" w:rsidRPr="00EF7DDB" w:rsidRDefault="00EF7DDB" w:rsidP="00EF7DDB">
      <w:pPr>
        <w:rPr>
          <w:rFonts w:ascii="Source Sans Pro" w:hAnsi="Source Sans Pro"/>
        </w:rPr>
      </w:pPr>
      <w:r w:rsidRPr="00EF7DDB">
        <w:rPr>
          <w:rFonts w:ascii="Source Sans Pro" w:hAnsi="Source Sans Pro"/>
        </w:rPr>
        <w:t xml:space="preserve">Leitrim County Council would like to bring to your attention some important information regarding the use of pesticides (also known as Plant Protection Products). Products such as MCPA and Glyphosate are being detected in drinking water and </w:t>
      </w:r>
      <w:r w:rsidR="003723C1">
        <w:rPr>
          <w:rFonts w:ascii="Source Sans Pro" w:hAnsi="Source Sans Pro"/>
        </w:rPr>
        <w:t>Uisce Eireann</w:t>
      </w:r>
      <w:r w:rsidRPr="00EF7DDB">
        <w:rPr>
          <w:rFonts w:ascii="Source Sans Pro" w:hAnsi="Source Sans Pro"/>
        </w:rPr>
        <w:t xml:space="preserve"> have reported</w:t>
      </w:r>
      <w:r w:rsidR="003723C1">
        <w:rPr>
          <w:rFonts w:ascii="Source Sans Pro" w:hAnsi="Source Sans Pro"/>
        </w:rPr>
        <w:t xml:space="preserve"> the following </w:t>
      </w:r>
      <w:r w:rsidRPr="00EF7DDB">
        <w:rPr>
          <w:rFonts w:ascii="Source Sans Pro" w:hAnsi="Source Sans Pro"/>
        </w:rPr>
        <w:t>pesticide exceedances</w:t>
      </w:r>
      <w:r w:rsidR="003723C1">
        <w:rPr>
          <w:rFonts w:ascii="Source Sans Pro" w:hAnsi="Source Sans Pro"/>
        </w:rPr>
        <w:t xml:space="preserve"> in Ireland:</w:t>
      </w:r>
      <w:r w:rsidRPr="00EF7DDB">
        <w:rPr>
          <w:rFonts w:ascii="Source Sans Pro" w:hAnsi="Source Sans Pro"/>
        </w:rPr>
        <w:t xml:space="preserve"> </w:t>
      </w:r>
      <w:r w:rsidR="003723C1">
        <w:rPr>
          <w:rFonts w:ascii="Source Sans Pro" w:hAnsi="Source Sans Pro"/>
        </w:rPr>
        <w:t xml:space="preserve">47 </w:t>
      </w:r>
      <w:r w:rsidRPr="00EF7DDB">
        <w:rPr>
          <w:rFonts w:ascii="Source Sans Pro" w:hAnsi="Source Sans Pro"/>
        </w:rPr>
        <w:t>in 2021</w:t>
      </w:r>
      <w:r w:rsidR="003723C1">
        <w:rPr>
          <w:rFonts w:ascii="Source Sans Pro" w:hAnsi="Source Sans Pro"/>
        </w:rPr>
        <w:t>, 52 in 2023 and 66 in 2024 - a worrying increasing trend.</w:t>
      </w:r>
    </w:p>
    <w:p w14:paraId="0274DAF9" w14:textId="77777777" w:rsidR="00EF7DDB" w:rsidRPr="00EF7DDB" w:rsidRDefault="00EF7DDB" w:rsidP="00EF7DDB">
      <w:pPr>
        <w:rPr>
          <w:rFonts w:ascii="Source Sans Pro" w:hAnsi="Source Sans Pro"/>
        </w:rPr>
      </w:pPr>
      <w:r w:rsidRPr="00EF7DDB">
        <w:rPr>
          <w:rFonts w:ascii="Source Sans Pro" w:hAnsi="Source Sans Pro"/>
        </w:rPr>
        <w:t xml:space="preserve"> </w:t>
      </w:r>
    </w:p>
    <w:p w14:paraId="4125C782" w14:textId="626DE099" w:rsidR="00EF7DDB" w:rsidRPr="00EF7DDB" w:rsidRDefault="00EF7DDB" w:rsidP="003723C1">
      <w:pPr>
        <w:rPr>
          <w:rFonts w:ascii="Source Sans Pro" w:hAnsi="Source Sans Pro"/>
        </w:rPr>
      </w:pPr>
      <w:r w:rsidRPr="00EF7DDB">
        <w:rPr>
          <w:rFonts w:ascii="Source Sans Pro" w:hAnsi="Source Sans Pro"/>
        </w:rPr>
        <w:t xml:space="preserve">While the HSE has advised that the levels of pesticides seen in water do not represent a threat to public health, such detections are very undesirable in a drinking water supply.  Contamination of water by pesticides can only be managed by prevention and best practice in application of pesticides.  </w:t>
      </w:r>
    </w:p>
    <w:p w14:paraId="61639CEB" w14:textId="77777777" w:rsidR="00EF7DDB" w:rsidRPr="00EF7DDB" w:rsidRDefault="00EF7DDB" w:rsidP="00EF7DDB">
      <w:pPr>
        <w:rPr>
          <w:rFonts w:ascii="Source Sans Pro" w:hAnsi="Source Sans Pro"/>
        </w:rPr>
      </w:pPr>
      <w:r w:rsidRPr="00EF7DDB">
        <w:rPr>
          <w:rFonts w:ascii="Source Sans Pro" w:hAnsi="Source Sans Pro"/>
        </w:rPr>
        <w:t xml:space="preserve"> </w:t>
      </w:r>
    </w:p>
    <w:p w14:paraId="4587C347" w14:textId="77777777" w:rsidR="00EF7DDB" w:rsidRPr="00EF7DDB" w:rsidRDefault="00EF7DDB" w:rsidP="00EF7DDB">
      <w:pPr>
        <w:rPr>
          <w:rFonts w:ascii="Source Sans Pro" w:hAnsi="Source Sans Pro"/>
        </w:rPr>
      </w:pPr>
      <w:r w:rsidRPr="00EF7DDB">
        <w:rPr>
          <w:rFonts w:ascii="Source Sans Pro" w:hAnsi="Source Sans Pro"/>
        </w:rPr>
        <w:t xml:space="preserve">The access route for pesticides (which include herbicides, fungicides, insecticides) is through drains, streams and rivers that feed the drinking water supply and ground water aquifers. Spraying of hard surfaces, paths and carparks can result in the runoff of sprayed products.  </w:t>
      </w:r>
    </w:p>
    <w:p w14:paraId="045B67D1" w14:textId="77777777" w:rsidR="00EF7DDB" w:rsidRPr="00EF7DDB" w:rsidRDefault="00EF7DDB" w:rsidP="00EF7DDB">
      <w:pPr>
        <w:rPr>
          <w:rFonts w:ascii="Source Sans Pro" w:hAnsi="Source Sans Pro"/>
        </w:rPr>
      </w:pPr>
      <w:r w:rsidRPr="00EF7DDB">
        <w:rPr>
          <w:rFonts w:ascii="Source Sans Pro" w:hAnsi="Source Sans Pro"/>
        </w:rPr>
        <w:t xml:space="preserve"> </w:t>
      </w:r>
    </w:p>
    <w:p w14:paraId="41AA7B6B" w14:textId="77777777" w:rsidR="00EF7DDB" w:rsidRPr="00EF7DDB" w:rsidRDefault="00EF7DDB" w:rsidP="00EF7DDB">
      <w:pPr>
        <w:rPr>
          <w:rFonts w:ascii="Source Sans Pro" w:hAnsi="Source Sans Pro"/>
        </w:rPr>
      </w:pPr>
      <w:r w:rsidRPr="00EF7DDB">
        <w:rPr>
          <w:rFonts w:ascii="Source Sans Pro" w:hAnsi="Source Sans Pro"/>
        </w:rPr>
        <w:t xml:space="preserve">The accidental disposal of very small amounts of product into a drain connecting to a stream is enough to cause exceedances in drinking water limits. A single drop of herbicide can breach the drinking water limit in a small stream for 30km!  </w:t>
      </w:r>
    </w:p>
    <w:p w14:paraId="444D7E14" w14:textId="77777777" w:rsidR="00EF7DDB" w:rsidRPr="00EF7DDB" w:rsidRDefault="00EF7DDB" w:rsidP="00EF7DDB">
      <w:pPr>
        <w:rPr>
          <w:rFonts w:ascii="Source Sans Pro" w:hAnsi="Source Sans Pro"/>
        </w:rPr>
      </w:pPr>
      <w:r w:rsidRPr="00EF7DDB">
        <w:rPr>
          <w:rFonts w:ascii="Source Sans Pro" w:hAnsi="Source Sans Pro"/>
        </w:rPr>
        <w:t xml:space="preserve"> </w:t>
      </w:r>
    </w:p>
    <w:p w14:paraId="2408F36C" w14:textId="46F7FEBA" w:rsidR="00EF7DDB" w:rsidRPr="00EF7DDB" w:rsidRDefault="00EF7DDB" w:rsidP="003723C1">
      <w:pPr>
        <w:rPr>
          <w:rFonts w:ascii="Source Sans Pro" w:hAnsi="Source Sans Pro"/>
        </w:rPr>
      </w:pPr>
      <w:r w:rsidRPr="00EF7DDB">
        <w:rPr>
          <w:rFonts w:ascii="Source Sans Pro" w:hAnsi="Source Sans Pro"/>
        </w:rPr>
        <w:t xml:space="preserve">Extreme vigilance is required with how you spray, clean equipment, and dispose of unwanted pesticide products and containers. But in the first instance you are strongly urged to always consider alternatives to spraying with pesticides and in each case, if pesticides are needed at all. You are urged to consider alternatives (manual/mechanical - hoeing, cutting, brushing and scuffle, strimming, hand pulling, rotavating, weed suppression, mulching) instead of pesticides. </w:t>
      </w:r>
    </w:p>
    <w:p w14:paraId="066F2F1C" w14:textId="77777777" w:rsidR="00EF7DDB" w:rsidRPr="00EF7DDB" w:rsidRDefault="00EF7DDB" w:rsidP="00EF7DDB">
      <w:pPr>
        <w:rPr>
          <w:rFonts w:ascii="Source Sans Pro" w:hAnsi="Source Sans Pro"/>
        </w:rPr>
      </w:pPr>
      <w:r w:rsidRPr="00EF7DDB">
        <w:rPr>
          <w:rFonts w:ascii="Source Sans Pro" w:hAnsi="Source Sans Pro"/>
        </w:rPr>
        <w:t xml:space="preserve"> </w:t>
      </w:r>
    </w:p>
    <w:p w14:paraId="257F72E7" w14:textId="0EDA91C5" w:rsidR="00EF7DDB" w:rsidRPr="00EF7DDB" w:rsidRDefault="00EF7DDB" w:rsidP="00EF7DDB">
      <w:pPr>
        <w:rPr>
          <w:rFonts w:ascii="Source Sans Pro" w:hAnsi="Source Sans Pro"/>
        </w:rPr>
      </w:pPr>
      <w:r w:rsidRPr="00EF7DDB">
        <w:rPr>
          <w:rFonts w:ascii="Source Sans Pro" w:hAnsi="Source Sans Pro"/>
        </w:rPr>
        <w:t xml:space="preserve">Check out </w:t>
      </w:r>
      <w:hyperlink r:id="rId7" w:history="1">
        <w:r w:rsidRPr="00EF7DDB">
          <w:rPr>
            <w:rStyle w:val="Hyperlink"/>
            <w:rFonts w:ascii="Source Sans Pro" w:hAnsi="Source Sans Pro"/>
          </w:rPr>
          <w:t>www.mywaste.ie</w:t>
        </w:r>
      </w:hyperlink>
      <w:r w:rsidRPr="00EF7DDB">
        <w:rPr>
          <w:rFonts w:ascii="Source Sans Pro" w:hAnsi="Source Sans Pro"/>
        </w:rPr>
        <w:t xml:space="preserve"> for helpful information. Please note that leaving areas unsprayed can help native flowering plants to grow and support a wide range of insects including bees and other vital pollinators. One third of Ireland’s bee species are threatened with extinction and by helping the bee population to survive and thrive you are also protecting precious water resources. For more information on practical ways to help bees and other pollinators, check out the All-Ireland Pollinator Plan at </w:t>
      </w:r>
      <w:r w:rsidRPr="00EF7DDB">
        <w:rPr>
          <w:rFonts w:ascii="Source Sans Pro" w:hAnsi="Source Sans Pro"/>
          <w:u w:val="single"/>
        </w:rPr>
        <w:t>www.pollinators.ie</w:t>
      </w:r>
      <w:r w:rsidRPr="00EF7DDB">
        <w:rPr>
          <w:rFonts w:ascii="Source Sans Pro" w:hAnsi="Source Sans Pro"/>
        </w:rPr>
        <w:t xml:space="preserve">. </w:t>
      </w:r>
    </w:p>
    <w:p w14:paraId="2567CAD5" w14:textId="77777777" w:rsidR="00EF7DDB" w:rsidRPr="00EF7DDB" w:rsidRDefault="00EF7DDB" w:rsidP="00EF7DDB">
      <w:pPr>
        <w:rPr>
          <w:rFonts w:ascii="Source Sans Pro" w:hAnsi="Source Sans Pro"/>
        </w:rPr>
      </w:pPr>
      <w:r w:rsidRPr="00EF7DDB">
        <w:rPr>
          <w:rFonts w:ascii="Source Sans Pro" w:hAnsi="Source Sans Pro"/>
        </w:rPr>
        <w:t xml:space="preserve"> </w:t>
      </w:r>
    </w:p>
    <w:p w14:paraId="4FA475A7" w14:textId="32F41224" w:rsidR="00EF7DDB" w:rsidRPr="00EF7DDB" w:rsidRDefault="00EF7DDB" w:rsidP="003723C1">
      <w:pPr>
        <w:rPr>
          <w:rFonts w:ascii="Source Sans Pro" w:hAnsi="Source Sans Pro"/>
        </w:rPr>
      </w:pPr>
      <w:r w:rsidRPr="00EF7DDB">
        <w:rPr>
          <w:rFonts w:ascii="Source Sans Pro" w:hAnsi="Source Sans Pro"/>
          <w:b/>
          <w:bCs/>
        </w:rPr>
        <w:t xml:space="preserve">Pesticides should only be used if </w:t>
      </w:r>
      <w:proofErr w:type="gramStart"/>
      <w:r w:rsidRPr="00EF7DDB">
        <w:rPr>
          <w:rFonts w:ascii="Source Sans Pro" w:hAnsi="Source Sans Pro"/>
          <w:b/>
          <w:bCs/>
        </w:rPr>
        <w:t>absolutely necessary</w:t>
      </w:r>
      <w:proofErr w:type="gramEnd"/>
      <w:r w:rsidRPr="00EF7DDB">
        <w:rPr>
          <w:rFonts w:ascii="Source Sans Pro" w:hAnsi="Source Sans Pro"/>
          <w:b/>
          <w:bCs/>
        </w:rPr>
        <w:t>.</w:t>
      </w:r>
      <w:r w:rsidRPr="00EF7DDB">
        <w:rPr>
          <w:rFonts w:ascii="Source Sans Pro" w:hAnsi="Source Sans Pro"/>
        </w:rPr>
        <w:t xml:space="preserve">  If pesticide use is necessary, you must read and follow the instructions on the product label and make sure that you are aware of all nearby water bodies (ditches, streams, ponds, rivers, lakes, springs etc.). Only a DAFM-registered professional user can apply Plant Protection Products that are authorised for Professional Use.  Where pesticide application is considered the last resort users must follow best practice in application and particularly near water including any drain, stream, lake, river or drinking water source.  </w:t>
      </w:r>
    </w:p>
    <w:p w14:paraId="73425657" w14:textId="77777777" w:rsidR="00EF7DDB" w:rsidRPr="00EF7DDB" w:rsidRDefault="00EF7DDB" w:rsidP="00EF7DDB">
      <w:pPr>
        <w:rPr>
          <w:rFonts w:ascii="Source Sans Pro" w:hAnsi="Source Sans Pro"/>
        </w:rPr>
      </w:pPr>
      <w:r w:rsidRPr="00EF7DDB">
        <w:rPr>
          <w:rFonts w:ascii="Source Sans Pro" w:hAnsi="Source Sans Pro"/>
        </w:rPr>
        <w:t xml:space="preserve"> </w:t>
      </w:r>
    </w:p>
    <w:p w14:paraId="52F73D2B" w14:textId="77777777" w:rsidR="00EF7DDB" w:rsidRPr="00EF7DDB" w:rsidRDefault="00EF7DDB" w:rsidP="00EF7DDB">
      <w:pPr>
        <w:rPr>
          <w:rFonts w:ascii="Source Sans Pro" w:hAnsi="Source Sans Pro"/>
          <w:b/>
          <w:bCs/>
        </w:rPr>
      </w:pPr>
      <w:r w:rsidRPr="00EF7DDB">
        <w:rPr>
          <w:rFonts w:ascii="Source Sans Pro" w:hAnsi="Source Sans Pro"/>
          <w:b/>
          <w:bCs/>
        </w:rPr>
        <w:t xml:space="preserve">Best Practice: </w:t>
      </w:r>
    </w:p>
    <w:p w14:paraId="71F2744F"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Know the location of any nearby drinking water sources and abstraction points. </w:t>
      </w:r>
    </w:p>
    <w:p w14:paraId="7D64E4CB"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Ensure strict compliance with Safeguard No–Use Zones around abstraction points. </w:t>
      </w:r>
    </w:p>
    <w:p w14:paraId="22AA47BE"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Read and follow the product label and product instructions. </w:t>
      </w:r>
    </w:p>
    <w:p w14:paraId="798F1192"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Determine the right amount to purchase and use. </w:t>
      </w:r>
    </w:p>
    <w:p w14:paraId="00A20E2C"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Be sure to choose the right pesticide product.  </w:t>
      </w:r>
    </w:p>
    <w:p w14:paraId="64065279"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Only apply chemical control when the target weed is growing. </w:t>
      </w:r>
    </w:p>
    <w:p w14:paraId="6196D767"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Store pesticides in a secure dry manner that will not result in accidental releases. </w:t>
      </w:r>
    </w:p>
    <w:p w14:paraId="72D281DA" w14:textId="77777777" w:rsidR="00EF7DDB" w:rsidRPr="00EF7DDB" w:rsidRDefault="00EF7DDB" w:rsidP="00EF7DDB">
      <w:pPr>
        <w:ind w:left="720" w:hanging="720"/>
        <w:rPr>
          <w:rFonts w:ascii="Source Sans Pro" w:hAnsi="Source Sans Pro"/>
        </w:rPr>
      </w:pPr>
      <w:r w:rsidRPr="00EF7DDB">
        <w:rPr>
          <w:rFonts w:ascii="Source Sans Pro" w:hAnsi="Source Sans Pro"/>
        </w:rPr>
        <w:t>•</w:t>
      </w:r>
      <w:r w:rsidRPr="00EF7DDB">
        <w:rPr>
          <w:rFonts w:ascii="Source Sans Pro" w:hAnsi="Source Sans Pro"/>
        </w:rPr>
        <w:tab/>
        <w:t xml:space="preserve">Take extreme caution during mixing and preparation of pesticides to avoid spills/ dripping and to reduce washings and wastewater from the handling area.  </w:t>
      </w:r>
    </w:p>
    <w:p w14:paraId="10CC7691"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Note it is illegal to fill a sprayer/ equipment directly from a watercourse.  </w:t>
      </w:r>
    </w:p>
    <w:p w14:paraId="0EED6196"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Don’t spray if the target area is wet or heavy rain is forecast within 48 hours. </w:t>
      </w:r>
    </w:p>
    <w:p w14:paraId="43C560DA" w14:textId="77777777" w:rsidR="00EF7DDB" w:rsidRPr="00EF7DDB" w:rsidRDefault="00EF7DDB" w:rsidP="00EF7DDB">
      <w:pPr>
        <w:rPr>
          <w:rFonts w:ascii="Source Sans Pro" w:hAnsi="Source Sans Pro"/>
        </w:rPr>
      </w:pPr>
      <w:r w:rsidRPr="00EF7DDB">
        <w:rPr>
          <w:rFonts w:ascii="Source Sans Pro" w:hAnsi="Source Sans Pro"/>
        </w:rPr>
        <w:t>•</w:t>
      </w:r>
      <w:r w:rsidRPr="00EF7DDB">
        <w:rPr>
          <w:rFonts w:ascii="Source Sans Pro" w:hAnsi="Source Sans Pro"/>
        </w:rPr>
        <w:tab/>
        <w:t xml:space="preserve">Don’t apply pesticides during windy conditions. </w:t>
      </w:r>
    </w:p>
    <w:p w14:paraId="6B8CFDC5" w14:textId="06216F3A" w:rsidR="00CC21A3" w:rsidRPr="00EF7DDB" w:rsidRDefault="00EF7DDB" w:rsidP="00EF7DDB">
      <w:pPr>
        <w:ind w:left="720" w:hanging="720"/>
        <w:rPr>
          <w:rFonts w:ascii="Source Sans Pro" w:hAnsi="Source Sans Pro"/>
        </w:rPr>
      </w:pPr>
      <w:r w:rsidRPr="00EF7DDB">
        <w:rPr>
          <w:rFonts w:ascii="Source Sans Pro" w:hAnsi="Source Sans Pro"/>
        </w:rPr>
        <w:t>•</w:t>
      </w:r>
      <w:r w:rsidRPr="00EF7DDB">
        <w:rPr>
          <w:rFonts w:ascii="Source Sans Pro" w:hAnsi="Source Sans Pro"/>
        </w:rPr>
        <w:tab/>
        <w:t>Don’t discard washings from application equipment down a drain or onto an area from which they can readily enter a waterbody.</w:t>
      </w:r>
    </w:p>
    <w:sectPr w:rsidR="00CC21A3" w:rsidRPr="00EF7DDB" w:rsidSect="00EF7DDB">
      <w:headerReference w:type="default" r:id="rId8"/>
      <w:pgSz w:w="11906" w:h="16838"/>
      <w:pgMar w:top="1418" w:right="666" w:bottom="64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7363" w14:textId="77777777" w:rsidR="0059718E" w:rsidRDefault="0059718E" w:rsidP="00C00F7D">
      <w:pPr>
        <w:spacing w:after="0" w:line="240" w:lineRule="auto"/>
      </w:pPr>
      <w:r>
        <w:separator/>
      </w:r>
    </w:p>
  </w:endnote>
  <w:endnote w:type="continuationSeparator" w:id="0">
    <w:p w14:paraId="0F04F71F" w14:textId="77777777" w:rsidR="0059718E" w:rsidRDefault="0059718E" w:rsidP="00C0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35FBB" w14:textId="77777777" w:rsidR="0059718E" w:rsidRDefault="0059718E" w:rsidP="00C00F7D">
      <w:pPr>
        <w:spacing w:after="0" w:line="240" w:lineRule="auto"/>
      </w:pPr>
      <w:r>
        <w:separator/>
      </w:r>
    </w:p>
  </w:footnote>
  <w:footnote w:type="continuationSeparator" w:id="0">
    <w:p w14:paraId="59EFDB7B" w14:textId="77777777" w:rsidR="0059718E" w:rsidRDefault="0059718E" w:rsidP="00C00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4333" w14:textId="0E247896" w:rsidR="00C00F7D" w:rsidRDefault="00EF7DDB" w:rsidP="00EF7DDB">
    <w:pPr>
      <w:spacing w:after="0" w:line="259" w:lineRule="auto"/>
      <w:ind w:left="0" w:firstLine="0"/>
      <w:jc w:val="left"/>
    </w:pPr>
    <w:r>
      <w:rPr>
        <w:noProof/>
      </w:rPr>
      <mc:AlternateContent>
        <mc:Choice Requires="wps">
          <w:drawing>
            <wp:anchor distT="0" distB="0" distL="114300" distR="114300" simplePos="0" relativeHeight="251659264" behindDoc="0" locked="0" layoutInCell="1" allowOverlap="1" wp14:anchorId="33C32684" wp14:editId="4B0FE581">
              <wp:simplePos x="0" y="0"/>
              <wp:positionH relativeFrom="column">
                <wp:posOffset>38100</wp:posOffset>
              </wp:positionH>
              <wp:positionV relativeFrom="paragraph">
                <wp:posOffset>401320</wp:posOffset>
              </wp:positionV>
              <wp:extent cx="6640195" cy="19050"/>
              <wp:effectExtent l="0" t="0" r="27305" b="19050"/>
              <wp:wrapNone/>
              <wp:docPr id="174327969" name="Straight Connector 5"/>
              <wp:cNvGraphicFramePr/>
              <a:graphic xmlns:a="http://schemas.openxmlformats.org/drawingml/2006/main">
                <a:graphicData uri="http://schemas.microsoft.com/office/word/2010/wordprocessingShape">
                  <wps:wsp>
                    <wps:cNvCnPr/>
                    <wps:spPr>
                      <a:xfrm flipV="1">
                        <a:off x="0" y="0"/>
                        <a:ext cx="6640195" cy="19050"/>
                      </a:xfrm>
                      <a:prstGeom prst="line">
                        <a:avLst/>
                      </a:prstGeom>
                      <a:ln>
                        <a:solidFill>
                          <a:srgbClr val="008743"/>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C7B06DE"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31.6pt" to="525.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" strokecolor="#008743" strokeweight="1.5pt">
              <v:stroke joinstyle="miter"/>
            </v:line>
          </w:pict>
        </mc:Fallback>
      </mc:AlternateContent>
    </w:r>
    <w:r>
      <w:rPr>
        <w:rFonts w:ascii="Source Sans Pro" w:hAnsi="Source Sans Pro"/>
        <w:b/>
        <w:noProof/>
        <w:color w:val="0B0C0C"/>
        <w:sz w:val="32"/>
      </w:rPr>
      <w:drawing>
        <wp:anchor distT="0" distB="0" distL="114300" distR="114300" simplePos="0" relativeHeight="251658240" behindDoc="0" locked="0" layoutInCell="1" allowOverlap="1" wp14:anchorId="1112D422" wp14:editId="2832D0C2">
          <wp:simplePos x="0" y="0"/>
          <wp:positionH relativeFrom="column">
            <wp:posOffset>4948580</wp:posOffset>
          </wp:positionH>
          <wp:positionV relativeFrom="paragraph">
            <wp:posOffset>-228600</wp:posOffset>
          </wp:positionV>
          <wp:extent cx="1727964" cy="552450"/>
          <wp:effectExtent l="0" t="0" r="5715" b="0"/>
          <wp:wrapNone/>
          <wp:docPr id="132018221" name="Picture 4" descr="A person with a red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37119" name="Picture 4" descr="A person with a red ha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29909" cy="553072"/>
                  </a:xfrm>
                  <a:prstGeom prst="rect">
                    <a:avLst/>
                  </a:prstGeom>
                </pic:spPr>
              </pic:pic>
            </a:graphicData>
          </a:graphic>
          <wp14:sizeRelH relativeFrom="margin">
            <wp14:pctWidth>0</wp14:pctWidth>
          </wp14:sizeRelH>
          <wp14:sizeRelV relativeFrom="margin">
            <wp14:pctHeight>0</wp14:pctHeight>
          </wp14:sizeRelV>
        </wp:anchor>
      </w:drawing>
    </w:r>
    <w:r w:rsidR="00C00F7D" w:rsidRPr="00C00F7D">
      <w:rPr>
        <w:rFonts w:ascii="Source Sans Pro" w:hAnsi="Source Sans Pro"/>
        <w:b/>
        <w:color w:val="0B0C0C"/>
        <w:sz w:val="32"/>
      </w:rPr>
      <w:t xml:space="preserve"> </w:t>
    </w:r>
    <w:r w:rsidRPr="00EF7DDB">
      <w:rPr>
        <w:rFonts w:ascii="Source Sans Pro" w:hAnsi="Source Sans Pro"/>
        <w:b/>
        <w:color w:val="0B0C0C"/>
        <w:sz w:val="32"/>
      </w:rPr>
      <w:t xml:space="preserve">Pesticide Awareness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42FFF"/>
    <w:multiLevelType w:val="hybridMultilevel"/>
    <w:tmpl w:val="AD787E62"/>
    <w:lvl w:ilvl="0" w:tplc="F91E99D2">
      <w:start w:val="1"/>
      <w:numFmt w:val="bullet"/>
      <w:lvlText w:val="•"/>
      <w:lvlJc w:val="left"/>
      <w:pPr>
        <w:ind w:left="4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360DD2A">
      <w:start w:val="1"/>
      <w:numFmt w:val="bullet"/>
      <w:lvlText w:val="o"/>
      <w:lvlJc w:val="left"/>
      <w:pPr>
        <w:ind w:left="35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5F062E0">
      <w:start w:val="1"/>
      <w:numFmt w:val="bullet"/>
      <w:lvlText w:val="▪"/>
      <w:lvlJc w:val="left"/>
      <w:pPr>
        <w:ind w:left="42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0FEB96E">
      <w:start w:val="1"/>
      <w:numFmt w:val="bullet"/>
      <w:lvlText w:val="•"/>
      <w:lvlJc w:val="left"/>
      <w:pPr>
        <w:ind w:left="49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91288A2">
      <w:start w:val="1"/>
      <w:numFmt w:val="bullet"/>
      <w:lvlText w:val="o"/>
      <w:lvlJc w:val="left"/>
      <w:pPr>
        <w:ind w:left="56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328D1DC">
      <w:start w:val="1"/>
      <w:numFmt w:val="bullet"/>
      <w:lvlText w:val="▪"/>
      <w:lvlJc w:val="left"/>
      <w:pPr>
        <w:ind w:left="64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CCE90AC">
      <w:start w:val="1"/>
      <w:numFmt w:val="bullet"/>
      <w:lvlText w:val="•"/>
      <w:lvlJc w:val="left"/>
      <w:pPr>
        <w:ind w:left="71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FC04744">
      <w:start w:val="1"/>
      <w:numFmt w:val="bullet"/>
      <w:lvlText w:val="o"/>
      <w:lvlJc w:val="left"/>
      <w:pPr>
        <w:ind w:left="78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13A2440">
      <w:start w:val="1"/>
      <w:numFmt w:val="bullet"/>
      <w:lvlText w:val="▪"/>
      <w:lvlJc w:val="left"/>
      <w:pPr>
        <w:ind w:left="85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63696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A3"/>
    <w:rsid w:val="00277419"/>
    <w:rsid w:val="003723C1"/>
    <w:rsid w:val="00372784"/>
    <w:rsid w:val="00402E09"/>
    <w:rsid w:val="0059718E"/>
    <w:rsid w:val="00605034"/>
    <w:rsid w:val="00B657E8"/>
    <w:rsid w:val="00C00F7D"/>
    <w:rsid w:val="00CB715D"/>
    <w:rsid w:val="00CC21A3"/>
    <w:rsid w:val="00EB661F"/>
    <w:rsid w:val="00EF7D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104D"/>
  <w15:docId w15:val="{965F7FD4-4C76-4D2A-983C-E78CECB8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9"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F7D"/>
    <w:rPr>
      <w:rFonts w:ascii="Calibri" w:eastAsia="Calibri" w:hAnsi="Calibri" w:cs="Calibri"/>
      <w:color w:val="000000"/>
      <w:sz w:val="22"/>
    </w:rPr>
  </w:style>
  <w:style w:type="paragraph" w:styleId="Footer">
    <w:name w:val="footer"/>
    <w:basedOn w:val="Normal"/>
    <w:link w:val="FooterChar"/>
    <w:uiPriority w:val="99"/>
    <w:unhideWhenUsed/>
    <w:rsid w:val="00C00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F7D"/>
    <w:rPr>
      <w:rFonts w:ascii="Calibri" w:eastAsia="Calibri" w:hAnsi="Calibri" w:cs="Calibri"/>
      <w:color w:val="000000"/>
      <w:sz w:val="22"/>
    </w:rPr>
  </w:style>
  <w:style w:type="character" w:styleId="Hyperlink">
    <w:name w:val="Hyperlink"/>
    <w:basedOn w:val="DefaultParagraphFont"/>
    <w:uiPriority w:val="99"/>
    <w:unhideWhenUsed/>
    <w:rsid w:val="00EF7DDB"/>
    <w:rPr>
      <w:color w:val="467886" w:themeColor="hyperlink"/>
      <w:u w:val="single"/>
    </w:rPr>
  </w:style>
  <w:style w:type="character" w:styleId="UnresolvedMention">
    <w:name w:val="Unresolved Mention"/>
    <w:basedOn w:val="DefaultParagraphFont"/>
    <w:uiPriority w:val="99"/>
    <w:semiHidden/>
    <w:unhideWhenUsed/>
    <w:rsid w:val="00EF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ywast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Davinia McManus</dc:creator>
  <cp:keywords/>
  <cp:lastModifiedBy>Kathryne Bohan</cp:lastModifiedBy>
  <cp:revision>2</cp:revision>
  <cp:lastPrinted>2025-08-14T09:26:00Z</cp:lastPrinted>
  <dcterms:created xsi:type="dcterms:W3CDTF">2025-08-20T11:52:00Z</dcterms:created>
  <dcterms:modified xsi:type="dcterms:W3CDTF">2025-08-20T11:52:00Z</dcterms:modified>
</cp:coreProperties>
</file>