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2799" w14:textId="77777777" w:rsidR="00DC7FBE" w:rsidRPr="00DC7FBE" w:rsidRDefault="00DC7FBE" w:rsidP="00527253">
      <w:pPr>
        <w:widowControl w:val="0"/>
        <w:adjustRightInd w:val="0"/>
        <w:spacing w:after="720"/>
        <w:rPr>
          <w:rFonts w:ascii="Source Sans Pro" w:hAnsi="Source Sans Pro"/>
          <w:color w:val="005826"/>
          <w:sz w:val="72"/>
          <w:szCs w:val="72"/>
        </w:rPr>
      </w:pPr>
      <w:r w:rsidRPr="00DC7FBE">
        <w:rPr>
          <w:rFonts w:ascii="Source Sans Pro" w:hAnsi="Source Sans Pro"/>
          <w:color w:val="005826"/>
          <w:sz w:val="72"/>
          <w:szCs w:val="72"/>
        </w:rPr>
        <w:t>Department of Rural and Community Development</w:t>
      </w:r>
    </w:p>
    <w:p w14:paraId="4E409191" w14:textId="61A3EAED" w:rsidR="00DC7FBE" w:rsidRPr="00DC7FBE" w:rsidRDefault="00DC7FBE" w:rsidP="00527253">
      <w:pPr>
        <w:widowControl w:val="0"/>
        <w:adjustRightInd w:val="0"/>
        <w:spacing w:after="720"/>
        <w:rPr>
          <w:rFonts w:ascii="Source Sans Pro" w:hAnsi="Source Sans Pro"/>
          <w:color w:val="008743"/>
          <w:sz w:val="54"/>
          <w:szCs w:val="54"/>
        </w:rPr>
      </w:pPr>
      <w:r w:rsidRPr="00DC7FBE">
        <w:rPr>
          <w:rFonts w:ascii="Source Sans Pro" w:hAnsi="Source Sans Pro"/>
          <w:color w:val="008743"/>
          <w:sz w:val="54"/>
          <w:szCs w:val="54"/>
        </w:rPr>
        <w:t>Local Enhancement Programme 202</w:t>
      </w:r>
      <w:r w:rsidRPr="00DC7FBE">
        <w:rPr>
          <w:rFonts w:ascii="Source Sans Pro" w:hAnsi="Source Sans Pro"/>
          <w:color w:val="008743"/>
          <w:sz w:val="54"/>
          <w:szCs w:val="54"/>
        </w:rPr>
        <w:t>6</w:t>
      </w:r>
    </w:p>
    <w:p w14:paraId="4E0D1F80" w14:textId="4EC9B7AE" w:rsidR="00527253" w:rsidRPr="00DC7FBE" w:rsidRDefault="00DC7FBE" w:rsidP="00DC7FBE">
      <w:pPr>
        <w:tabs>
          <w:tab w:val="left" w:pos="709"/>
          <w:tab w:val="left" w:pos="4253"/>
          <w:tab w:val="left" w:pos="6946"/>
        </w:tabs>
        <w:rPr>
          <w:rFonts w:ascii="Source Sans Pro" w:hAnsi="Source Sans Pro"/>
          <w:b/>
          <w:sz w:val="22"/>
          <w:szCs w:val="22"/>
          <w:lang w:val="en-IE"/>
        </w:rPr>
        <w:sectPr w:rsidR="00527253" w:rsidRPr="00DC7FBE" w:rsidSect="00527253">
          <w:headerReference w:type="default" r:id="rId8"/>
          <w:headerReference w:type="first" r:id="rId9"/>
          <w:pgSz w:w="11901" w:h="16840"/>
          <w:pgMar w:top="4536" w:right="1440" w:bottom="1985" w:left="1985" w:header="1440" w:footer="1440" w:gutter="0"/>
          <w:cols w:space="720"/>
          <w:titlePg/>
          <w:docGrid w:linePitch="272"/>
        </w:sectPr>
      </w:pPr>
      <w:r w:rsidRPr="00DC7FBE">
        <w:rPr>
          <w:rFonts w:ascii="Source Sans Pro" w:hAnsi="Source Sans Pro"/>
          <w:color w:val="000000" w:themeColor="text1"/>
          <w:sz w:val="36"/>
          <w:szCs w:val="54"/>
        </w:rPr>
        <w:t>Guidelines for Funding Scheme</w:t>
      </w:r>
    </w:p>
    <w:p w14:paraId="1230F619" w14:textId="529848B3" w:rsidR="009C239F" w:rsidRPr="00147F45" w:rsidRDefault="00DC7FBE" w:rsidP="009C239F">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lastRenderedPageBreak/>
        <w:t>INTRODUCTION</w:t>
      </w:r>
    </w:p>
    <w:p w14:paraId="4407EB2B" w14:textId="77777777" w:rsidR="00DC7FBE" w:rsidRPr="00147F45" w:rsidRDefault="00DC7FBE" w:rsidP="009C239F">
      <w:pPr>
        <w:tabs>
          <w:tab w:val="left" w:pos="4828"/>
        </w:tabs>
        <w:rPr>
          <w:rFonts w:ascii="Source Sans Pro" w:hAnsi="Source Sans Pro"/>
          <w:b/>
          <w:bCs/>
          <w:sz w:val="24"/>
          <w:szCs w:val="24"/>
          <w:u w:val="single"/>
        </w:rPr>
      </w:pPr>
    </w:p>
    <w:p w14:paraId="6989F11E" w14:textId="77777777" w:rsidR="00DC7FBE" w:rsidRPr="00147F45" w:rsidRDefault="00DC7FBE" w:rsidP="00DC7FBE">
      <w:pPr>
        <w:spacing w:after="120" w:line="360" w:lineRule="auto"/>
        <w:rPr>
          <w:rFonts w:ascii="Source Sans Pro" w:hAnsi="Source Sans Pro" w:cs="Arial"/>
          <w:sz w:val="24"/>
          <w:szCs w:val="24"/>
          <w:lang w:eastAsia="en-IE"/>
        </w:rPr>
      </w:pPr>
      <w:r w:rsidRPr="00147F45">
        <w:rPr>
          <w:rFonts w:ascii="Source Sans Pro" w:hAnsi="Source Sans Pro" w:cs="Arial"/>
          <w:sz w:val="24"/>
          <w:szCs w:val="24"/>
        </w:rPr>
        <w:t xml:space="preserve">The </w:t>
      </w:r>
      <w:r w:rsidRPr="00147F45">
        <w:rPr>
          <w:rFonts w:ascii="Source Sans Pro" w:hAnsi="Source Sans Pro" w:cs="Arial"/>
          <w:b/>
          <w:sz w:val="24"/>
          <w:szCs w:val="24"/>
        </w:rPr>
        <w:t>Local Enhancement Programme (LEP)</w:t>
      </w:r>
      <w:r w:rsidRPr="00147F45">
        <w:rPr>
          <w:rFonts w:ascii="Source Sans Pro" w:hAnsi="Source Sans Pro" w:cs="Arial"/>
          <w:sz w:val="24"/>
          <w:szCs w:val="24"/>
        </w:rPr>
        <w:t xml:space="preserve"> provides funding to support community groups across Ireland. The </w:t>
      </w:r>
      <w:r w:rsidRPr="00147F45">
        <w:rPr>
          <w:rFonts w:ascii="Source Sans Pro" w:hAnsi="Source Sans Pro" w:cs="Arial"/>
          <w:b/>
          <w:sz w:val="24"/>
          <w:szCs w:val="24"/>
        </w:rPr>
        <w:t>LEP</w:t>
      </w:r>
      <w:r w:rsidRPr="00147F45">
        <w:rPr>
          <w:rFonts w:ascii="Source Sans Pro" w:hAnsi="Source Sans Pro" w:cs="Arial"/>
          <w:sz w:val="24"/>
          <w:szCs w:val="24"/>
        </w:rPr>
        <w:t xml:space="preserve"> is funded by the Department of Rural and Community Development and the Gaeltacht (</w:t>
      </w:r>
      <w:r w:rsidRPr="00147F45">
        <w:rPr>
          <w:rFonts w:ascii="Source Sans Pro" w:hAnsi="Source Sans Pro" w:cs="Arial"/>
          <w:i/>
          <w:sz w:val="24"/>
          <w:szCs w:val="24"/>
        </w:rPr>
        <w:t>the Department</w:t>
      </w:r>
      <w:r w:rsidRPr="00147F45">
        <w:rPr>
          <w:rFonts w:ascii="Source Sans Pro" w:hAnsi="Source Sans Pro" w:cs="Arial"/>
          <w:sz w:val="24"/>
          <w:szCs w:val="24"/>
        </w:rPr>
        <w:t>) and administered by the Local Community Development Committees (</w:t>
      </w:r>
      <w:r w:rsidRPr="00147F45">
        <w:rPr>
          <w:rFonts w:ascii="Source Sans Pro" w:hAnsi="Source Sans Pro" w:cs="Arial"/>
          <w:i/>
          <w:iCs/>
          <w:sz w:val="24"/>
          <w:szCs w:val="24"/>
        </w:rPr>
        <w:t>LCDCs</w:t>
      </w:r>
      <w:r w:rsidRPr="00147F45">
        <w:rPr>
          <w:rFonts w:ascii="Source Sans Pro" w:hAnsi="Source Sans Pro" w:cs="Arial"/>
          <w:sz w:val="24"/>
          <w:szCs w:val="24"/>
        </w:rPr>
        <w:t xml:space="preserve">) in each </w:t>
      </w:r>
      <w:r w:rsidRPr="00147F45">
        <w:rPr>
          <w:rFonts w:ascii="Source Sans Pro" w:hAnsi="Source Sans Pro" w:cs="Arial"/>
          <w:sz w:val="24"/>
          <w:szCs w:val="24"/>
          <w:lang w:eastAsia="en-IE"/>
        </w:rPr>
        <w:t>Local Authority area. The Department provides funding to each Local Authority area and the LCDCs then administer this funding locally to ensure funding is targeted appropriately towards addressing disadvantage in the areas that need it most.</w:t>
      </w:r>
    </w:p>
    <w:p w14:paraId="6BF40CD9" w14:textId="77777777" w:rsidR="00DC7FBE" w:rsidRPr="00147F45" w:rsidRDefault="00DC7FBE" w:rsidP="00DC7FBE">
      <w:pPr>
        <w:spacing w:after="120" w:line="360" w:lineRule="auto"/>
        <w:contextualSpacing/>
        <w:rPr>
          <w:rFonts w:ascii="Source Sans Pro" w:hAnsi="Source Sans Pro" w:cs="Arial"/>
          <w:sz w:val="24"/>
          <w:szCs w:val="24"/>
          <w:lang w:eastAsia="en-IE"/>
        </w:rPr>
      </w:pPr>
      <w:r w:rsidRPr="00147F45">
        <w:rPr>
          <w:rFonts w:ascii="Source Sans Pro" w:hAnsi="Source Sans Pro" w:cs="Arial"/>
          <w:sz w:val="24"/>
          <w:szCs w:val="24"/>
        </w:rPr>
        <w:t>It is important to note that other agencies and departments also invest in disadvantaged areas</w:t>
      </w:r>
      <w:r w:rsidRPr="00147F45">
        <w:rPr>
          <w:rStyle w:val="FootnoteReference"/>
          <w:rFonts w:ascii="Source Sans Pro" w:hAnsi="Source Sans Pro" w:cs="Arial"/>
          <w:sz w:val="24"/>
          <w:szCs w:val="24"/>
        </w:rPr>
        <w:footnoteReference w:id="1"/>
      </w:r>
      <w:r w:rsidRPr="00147F45">
        <w:rPr>
          <w:rFonts w:ascii="Source Sans Pro" w:hAnsi="Source Sans Pro" w:cs="Arial"/>
          <w:sz w:val="24"/>
          <w:szCs w:val="24"/>
        </w:rPr>
        <w:t xml:space="preserve">. </w:t>
      </w:r>
      <w:r w:rsidRPr="00147F45">
        <w:rPr>
          <w:rFonts w:ascii="Source Sans Pro" w:hAnsi="Source Sans Pro" w:cs="Arial"/>
          <w:sz w:val="24"/>
          <w:szCs w:val="24"/>
          <w:lang w:eastAsia="en-IE"/>
        </w:rPr>
        <w:t xml:space="preserve">The </w:t>
      </w:r>
      <w:r w:rsidRPr="00147F45">
        <w:rPr>
          <w:rStyle w:val="Strong"/>
          <w:rFonts w:ascii="Source Sans Pro" w:hAnsi="Source Sans Pro" w:cs="Arial"/>
          <w:b w:val="0"/>
          <w:bCs w:val="0"/>
          <w:color w:val="000000" w:themeColor="text1"/>
          <w:sz w:val="24"/>
          <w:szCs w:val="24"/>
        </w:rPr>
        <w:t xml:space="preserve">Local Enhancement Programme </w:t>
      </w:r>
      <w:r w:rsidRPr="00147F45">
        <w:rPr>
          <w:rFonts w:ascii="Source Sans Pro" w:hAnsi="Source Sans Pro" w:cs="Arial"/>
          <w:sz w:val="24"/>
          <w:szCs w:val="24"/>
          <w:lang w:eastAsia="en-IE"/>
        </w:rPr>
        <w:t xml:space="preserve">will operate in a complementary manner to add value to other front-line schemes and programmes being operated in communities. </w:t>
      </w:r>
    </w:p>
    <w:p w14:paraId="0C9DD1D4" w14:textId="77777777" w:rsidR="00DC7FBE" w:rsidRPr="00147F45" w:rsidRDefault="00DC7FBE" w:rsidP="00DC7FBE">
      <w:pPr>
        <w:tabs>
          <w:tab w:val="center" w:pos="4681"/>
          <w:tab w:val="left" w:pos="8475"/>
        </w:tabs>
        <w:overflowPunct w:val="0"/>
        <w:autoSpaceDE w:val="0"/>
        <w:autoSpaceDN w:val="0"/>
        <w:adjustRightInd w:val="0"/>
        <w:spacing w:after="120" w:line="360" w:lineRule="auto"/>
        <w:textAlignment w:val="baseline"/>
        <w:rPr>
          <w:rStyle w:val="Strong"/>
          <w:rFonts w:ascii="Source Sans Pro" w:hAnsi="Source Sans Pro" w:cs="Arial"/>
          <w:b w:val="0"/>
          <w:bCs w:val="0"/>
          <w:sz w:val="24"/>
          <w:szCs w:val="24"/>
        </w:rPr>
      </w:pPr>
      <w:r w:rsidRPr="00147F45">
        <w:rPr>
          <w:rStyle w:val="Strong"/>
          <w:rFonts w:ascii="Source Sans Pro" w:hAnsi="Source Sans Pro" w:cs="Arial"/>
          <w:b w:val="0"/>
          <w:bCs w:val="0"/>
          <w:color w:val="000000" w:themeColor="text1"/>
          <w:sz w:val="24"/>
          <w:szCs w:val="24"/>
        </w:rPr>
        <w:t xml:space="preserve">The Local Enhancement Programme is targeted towards supporting communities that are impacted by disadvantage as identified in the LECP. </w:t>
      </w:r>
      <w:r w:rsidRPr="00147F45">
        <w:rPr>
          <w:rStyle w:val="Strong"/>
          <w:rFonts w:ascii="Source Sans Pro" w:hAnsi="Source Sans Pro" w:cs="Arial"/>
          <w:b w:val="0"/>
          <w:bCs w:val="0"/>
          <w:sz w:val="24"/>
          <w:szCs w:val="24"/>
        </w:rPr>
        <w:t xml:space="preserve">Groups will be able to use the funding to carry out necessary repairs and improvements to their facilities, purchase equipment e.g. tables and chairs, tools and signage, laptops and printers, lawnmowers, canopies and training equipment. </w:t>
      </w:r>
    </w:p>
    <w:p w14:paraId="1D876232" w14:textId="77777777" w:rsidR="00DC7FBE" w:rsidRPr="00147F45" w:rsidRDefault="00DC7FBE" w:rsidP="00DC7FBE">
      <w:pPr>
        <w:spacing w:after="120" w:line="360" w:lineRule="auto"/>
        <w:rPr>
          <w:rFonts w:ascii="Source Sans Pro" w:hAnsi="Source Sans Pro" w:cs="Arial"/>
          <w:sz w:val="24"/>
          <w:szCs w:val="24"/>
          <w:lang w:eastAsia="en-IE"/>
        </w:rPr>
      </w:pPr>
      <w:r w:rsidRPr="00147F45">
        <w:rPr>
          <w:rFonts w:ascii="Source Sans Pro" w:hAnsi="Source Sans Pro" w:cs="Arial"/>
          <w:sz w:val="24"/>
          <w:szCs w:val="24"/>
          <w:lang w:eastAsia="en-IE"/>
        </w:rPr>
        <w:t>This Programme will help communities, community groups and committees, to continue to provide valuable services to the people in their area, and in the process strengthen the bonds that tie communities together. </w:t>
      </w:r>
    </w:p>
    <w:p w14:paraId="6DCEEA22" w14:textId="77777777" w:rsidR="00DC7FBE" w:rsidRPr="00147F45" w:rsidRDefault="00DC7FBE" w:rsidP="00DC7FBE">
      <w:pPr>
        <w:spacing w:after="120" w:line="360" w:lineRule="auto"/>
        <w:rPr>
          <w:rFonts w:ascii="Source Sans Pro" w:hAnsi="Source Sans Pro" w:cs="Arial"/>
          <w:sz w:val="24"/>
          <w:szCs w:val="24"/>
          <w:lang w:eastAsia="en-IE"/>
        </w:rPr>
      </w:pPr>
      <w:r w:rsidRPr="00147F45">
        <w:rPr>
          <w:rFonts w:ascii="Source Sans Pro" w:hAnsi="Source Sans Pro" w:cs="Arial"/>
          <w:sz w:val="24"/>
          <w:szCs w:val="24"/>
          <w:lang w:eastAsia="en-IE"/>
        </w:rPr>
        <w:t xml:space="preserve">The Department has recommended that LCDCs ring-fence 30% of the funding to provide small capital grants of €1,000 or less. Ring-fencing funding at this level will allow a larger </w:t>
      </w:r>
      <w:r w:rsidRPr="00147F45">
        <w:rPr>
          <w:rFonts w:ascii="Source Sans Pro" w:hAnsi="Source Sans Pro" w:cs="Arial"/>
          <w:sz w:val="24"/>
          <w:szCs w:val="24"/>
          <w:lang w:eastAsia="en-IE"/>
        </w:rPr>
        <w:lastRenderedPageBreak/>
        <w:t xml:space="preserve">volume of those with limited resources to receive funding. The programme can also fund or partially fund larger scale projects to address disadvantage.  </w:t>
      </w:r>
    </w:p>
    <w:p w14:paraId="132E3348" w14:textId="78A5B7B9" w:rsidR="00DC7FBE" w:rsidRPr="00147F45" w:rsidRDefault="00DC7FBE" w:rsidP="00DC7FBE">
      <w:pPr>
        <w:tabs>
          <w:tab w:val="left" w:pos="4828"/>
        </w:tabs>
        <w:rPr>
          <w:rFonts w:ascii="Source Sans Pro" w:eastAsia="Cambria" w:hAnsi="Source Sans Pro" w:cs="Arial"/>
          <w:b/>
          <w:bCs/>
          <w:kern w:val="32"/>
          <w:sz w:val="24"/>
          <w:szCs w:val="24"/>
          <w:u w:val="single"/>
          <w:bdr w:val="nil"/>
          <w:lang w:eastAsia="en-IE"/>
        </w:rPr>
      </w:pPr>
      <w:bookmarkStart w:id="0" w:name="_Toc213141703"/>
      <w:bookmarkStart w:id="1" w:name="_Toc213143205"/>
      <w:bookmarkEnd w:id="0"/>
      <w:bookmarkEnd w:id="1"/>
      <w:r w:rsidRPr="00147F45">
        <w:rPr>
          <w:rFonts w:ascii="Source Sans Pro" w:eastAsia="Cambria" w:hAnsi="Source Sans Pro" w:cs="Arial"/>
          <w:b/>
          <w:bCs/>
          <w:kern w:val="32"/>
          <w:sz w:val="24"/>
          <w:szCs w:val="24"/>
          <w:u w:val="single"/>
          <w:bdr w:val="nil"/>
          <w:lang w:eastAsia="en-IE"/>
        </w:rPr>
        <w:t xml:space="preserve">2. WHO IS ELIGIBLE TO APPLY? </w:t>
      </w:r>
    </w:p>
    <w:p w14:paraId="2A0E2B29" w14:textId="77777777" w:rsidR="00DC7FBE" w:rsidRPr="00147F45" w:rsidRDefault="00DC7FBE" w:rsidP="00DC7FBE">
      <w:pPr>
        <w:tabs>
          <w:tab w:val="left" w:pos="4828"/>
        </w:tabs>
        <w:rPr>
          <w:rFonts w:ascii="Source Sans Pro" w:eastAsia="Cambria" w:hAnsi="Source Sans Pro" w:cs="Arial"/>
          <w:kern w:val="32"/>
          <w:sz w:val="24"/>
          <w:szCs w:val="24"/>
          <w:u w:color="000000"/>
          <w:bdr w:val="nil"/>
          <w:lang w:eastAsia="en-IE"/>
        </w:rPr>
      </w:pPr>
    </w:p>
    <w:p w14:paraId="4E74B714" w14:textId="77777777" w:rsidR="00DC7FBE" w:rsidRPr="00147F45" w:rsidRDefault="00DC7FBE" w:rsidP="00DC7FBE">
      <w:pPr>
        <w:tabs>
          <w:tab w:val="left" w:pos="4828"/>
        </w:tabs>
        <w:rPr>
          <w:rFonts w:ascii="Source Sans Pro" w:eastAsia="Cambria" w:hAnsi="Source Sans Pro" w:cs="Arial"/>
          <w:kern w:val="32"/>
          <w:sz w:val="24"/>
          <w:szCs w:val="24"/>
          <w:u w:color="000000"/>
          <w:bdr w:val="nil"/>
          <w:lang w:eastAsia="en-IE"/>
        </w:rPr>
      </w:pPr>
      <w:r w:rsidRPr="00147F45">
        <w:rPr>
          <w:rFonts w:ascii="Source Sans Pro" w:eastAsia="Cambria" w:hAnsi="Source Sans Pro" w:cs="Arial"/>
          <w:kern w:val="32"/>
          <w:sz w:val="24"/>
          <w:szCs w:val="24"/>
          <w:u w:color="000000"/>
          <w:bdr w:val="nil"/>
          <w:lang w:eastAsia="en-IE"/>
        </w:rPr>
        <w:t xml:space="preserve">Any not-for-profit community or voluntary group can apply. Commercial organisations and individuals are not eligible for funding. </w:t>
      </w:r>
    </w:p>
    <w:p w14:paraId="17826496" w14:textId="77777777" w:rsidR="00DC7FBE" w:rsidRPr="00147F45" w:rsidRDefault="00DC7FBE" w:rsidP="00DC7FBE">
      <w:pPr>
        <w:tabs>
          <w:tab w:val="left" w:pos="4828"/>
        </w:tabs>
        <w:rPr>
          <w:rFonts w:ascii="Source Sans Pro" w:eastAsia="Cambria" w:hAnsi="Source Sans Pro" w:cs="Arial"/>
          <w:kern w:val="32"/>
          <w:sz w:val="24"/>
          <w:szCs w:val="24"/>
          <w:u w:color="000000"/>
          <w:bdr w:val="nil"/>
          <w:lang w:eastAsia="en-IE"/>
        </w:rPr>
      </w:pPr>
    </w:p>
    <w:p w14:paraId="68B6A2FB" w14:textId="6EA0524E" w:rsidR="00DC7FBE" w:rsidRPr="00147F45" w:rsidRDefault="00DC7FBE" w:rsidP="00DC7FBE">
      <w:pPr>
        <w:tabs>
          <w:tab w:val="left" w:pos="4828"/>
        </w:tabs>
        <w:rPr>
          <w:rFonts w:ascii="Source Sans Pro" w:eastAsia="Cambria" w:hAnsi="Source Sans Pro" w:cs="Arial"/>
          <w:b/>
          <w:bCs/>
          <w:kern w:val="32"/>
          <w:sz w:val="24"/>
          <w:szCs w:val="24"/>
          <w:u w:val="single"/>
          <w:bdr w:val="nil"/>
          <w:lang w:eastAsia="en-IE"/>
        </w:rPr>
      </w:pPr>
      <w:r w:rsidRPr="00147F45">
        <w:rPr>
          <w:rFonts w:ascii="Source Sans Pro" w:eastAsia="Cambria" w:hAnsi="Source Sans Pro" w:cs="Arial"/>
          <w:b/>
          <w:bCs/>
          <w:kern w:val="32"/>
          <w:sz w:val="24"/>
          <w:szCs w:val="24"/>
          <w:u w:val="single"/>
          <w:bdr w:val="nil"/>
          <w:lang w:eastAsia="en-IE"/>
        </w:rPr>
        <w:t>3. WHAT PROJECTS ARE ELIGIBLE FOR FUNDING?</w:t>
      </w:r>
    </w:p>
    <w:p w14:paraId="69DD7DAD" w14:textId="7B1DF406"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3a. What costs are eligible for funding?</w:t>
      </w:r>
    </w:p>
    <w:p w14:paraId="4F0EC501" w14:textId="77777777" w:rsidR="00DC7FBE" w:rsidRPr="00147F45" w:rsidRDefault="00DC7FBE" w:rsidP="00DC7FBE">
      <w:pPr>
        <w:contextualSpacing/>
        <w:rPr>
          <w:rFonts w:ascii="Source Sans Pro" w:hAnsi="Source Sans Pro" w:cs="Arial"/>
          <w:sz w:val="24"/>
          <w:szCs w:val="24"/>
        </w:rPr>
      </w:pPr>
      <w:r w:rsidRPr="00147F45">
        <w:rPr>
          <w:rFonts w:ascii="Source Sans Pro" w:hAnsi="Source Sans Pro" w:cs="Arial"/>
          <w:sz w:val="24"/>
          <w:szCs w:val="24"/>
        </w:rPr>
        <w:t xml:space="preserve">The following provides a non-exhaustive list of </w:t>
      </w:r>
      <w:r w:rsidRPr="00147F45">
        <w:rPr>
          <w:rFonts w:ascii="Source Sans Pro" w:hAnsi="Source Sans Pro" w:cs="Arial"/>
          <w:bCs/>
          <w:sz w:val="24"/>
          <w:szCs w:val="24"/>
        </w:rPr>
        <w:t>projects</w:t>
      </w:r>
      <w:r w:rsidRPr="00147F45">
        <w:rPr>
          <w:rFonts w:ascii="Source Sans Pro" w:hAnsi="Source Sans Pro" w:cs="Arial"/>
          <w:sz w:val="24"/>
          <w:szCs w:val="24"/>
        </w:rPr>
        <w:t xml:space="preserve"> that are eligible for funding under the Programme:</w:t>
      </w:r>
    </w:p>
    <w:p w14:paraId="04A897F3"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Maintenance/refurbishment of community centres</w:t>
      </w:r>
    </w:p>
    <w:p w14:paraId="52D9FDEC"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 xml:space="preserve">Accessibility improvements </w:t>
      </w:r>
    </w:p>
    <w:p w14:paraId="0FEF2CDD" w14:textId="77777777" w:rsidR="00DC7FBE" w:rsidRPr="00147F45" w:rsidRDefault="00DC7FBE" w:rsidP="00DC7FBE">
      <w:pPr>
        <w:numPr>
          <w:ilvl w:val="0"/>
          <w:numId w:val="1"/>
        </w:numPr>
        <w:rPr>
          <w:rFonts w:ascii="Source Sans Pro" w:hAnsi="Source Sans Pro" w:cs="Arial"/>
          <w:sz w:val="24"/>
          <w:szCs w:val="24"/>
        </w:rPr>
      </w:pPr>
      <w:r w:rsidRPr="00147F45">
        <w:rPr>
          <w:rFonts w:ascii="Source Sans Pro" w:hAnsi="Source Sans Pro" w:cs="Arial"/>
          <w:sz w:val="24"/>
          <w:szCs w:val="24"/>
          <w:lang w:eastAsia="en-IE"/>
        </w:rPr>
        <w:t>Community amenities e.g. parks, playgrounds</w:t>
      </w:r>
    </w:p>
    <w:p w14:paraId="6598E3DD"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Development of youth clubs or facilities</w:t>
      </w:r>
    </w:p>
    <w:p w14:paraId="356A7D5D"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Development of sports/recreation facilities</w:t>
      </w:r>
    </w:p>
    <w:p w14:paraId="515817B9"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Improvements to town parks and common areas and spaces</w:t>
      </w:r>
    </w:p>
    <w:p w14:paraId="3B93043A"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lang w:eastAsia="en-IE"/>
        </w:rPr>
      </w:pPr>
      <w:r w:rsidRPr="00147F45">
        <w:rPr>
          <w:rFonts w:ascii="Source Sans Pro" w:hAnsi="Source Sans Pro" w:cs="Arial"/>
          <w:sz w:val="24"/>
          <w:szCs w:val="24"/>
          <w:lang w:eastAsia="en-IE"/>
        </w:rPr>
        <w:t>CCTV equipment</w:t>
      </w:r>
    </w:p>
    <w:p w14:paraId="1215EDC1"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Public realm improvements</w:t>
      </w:r>
    </w:p>
    <w:p w14:paraId="6E4EBFEE"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proofErr w:type="gramStart"/>
      <w:r w:rsidRPr="00147F45">
        <w:rPr>
          <w:rFonts w:ascii="Source Sans Pro" w:hAnsi="Source Sans Pro" w:cs="Arial"/>
          <w:sz w:val="24"/>
          <w:szCs w:val="24"/>
        </w:rPr>
        <w:t>Street-scaping</w:t>
      </w:r>
      <w:proofErr w:type="gramEnd"/>
    </w:p>
    <w:p w14:paraId="5E25FDDA"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Development of play/recreation spaces</w:t>
      </w:r>
    </w:p>
    <w:p w14:paraId="72887FB7"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bCs/>
          <w:sz w:val="24"/>
          <w:szCs w:val="24"/>
        </w:rPr>
        <w:t>Improving energy efficiency of community facilities to reduce ongoing costs</w:t>
      </w:r>
      <w:r w:rsidRPr="00147F45">
        <w:rPr>
          <w:rFonts w:ascii="Source Sans Pro" w:hAnsi="Source Sans Pro" w:cs="Arial"/>
          <w:sz w:val="24"/>
          <w:szCs w:val="24"/>
        </w:rPr>
        <w:t xml:space="preserve"> </w:t>
      </w:r>
    </w:p>
    <w:p w14:paraId="7998826B"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Purchase of equipment</w:t>
      </w:r>
    </w:p>
    <w:p w14:paraId="6AD03549"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Purchase of ICT equipment e.g. laptops, tablets, printers</w:t>
      </w:r>
    </w:p>
    <w:p w14:paraId="50991972"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lang w:eastAsia="en-IE"/>
        </w:rPr>
        <w:t xml:space="preserve">Maintenance of premises, including painting and repairs </w:t>
      </w:r>
    </w:p>
    <w:p w14:paraId="1C7201DC"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lang w:eastAsia="en-IE"/>
        </w:rPr>
        <w:t>Capital works to increase biodiversity, or to reduce the carbon footprint of a facility</w:t>
      </w:r>
    </w:p>
    <w:p w14:paraId="5CBE076C" w14:textId="77777777" w:rsidR="00DC7FBE" w:rsidRPr="00147F45" w:rsidRDefault="00DC7FBE" w:rsidP="00DC7FBE">
      <w:pPr>
        <w:pStyle w:val="ListParagraph"/>
        <w:numPr>
          <w:ilvl w:val="0"/>
          <w:numId w:val="1"/>
        </w:numPr>
        <w:spacing w:after="0" w:line="240" w:lineRule="auto"/>
        <w:rPr>
          <w:rFonts w:ascii="Source Sans Pro" w:hAnsi="Source Sans Pro" w:cs="Arial"/>
          <w:bCs/>
          <w:sz w:val="24"/>
          <w:szCs w:val="24"/>
        </w:rPr>
      </w:pPr>
      <w:r w:rsidRPr="00147F45">
        <w:rPr>
          <w:rFonts w:ascii="Source Sans Pro" w:hAnsi="Source Sans Pro" w:cs="Arial"/>
          <w:bCs/>
          <w:sz w:val="24"/>
          <w:szCs w:val="24"/>
        </w:rPr>
        <w:t>Cleaning equipment</w:t>
      </w:r>
    </w:p>
    <w:p w14:paraId="115D9AF8" w14:textId="77777777" w:rsidR="00DC7FBE" w:rsidRPr="00147F45" w:rsidRDefault="00DC7FBE" w:rsidP="00DC7FBE">
      <w:pPr>
        <w:tabs>
          <w:tab w:val="left" w:pos="4828"/>
        </w:tabs>
        <w:rPr>
          <w:rFonts w:ascii="Source Sans Pro" w:hAnsi="Source Sans Pro"/>
          <w:b/>
          <w:bCs/>
          <w:sz w:val="24"/>
          <w:szCs w:val="24"/>
          <w:u w:val="single"/>
        </w:rPr>
      </w:pPr>
    </w:p>
    <w:p w14:paraId="38D36D71"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The scheme is designed to ensure local priorities are identified and met, </w:t>
      </w:r>
      <w:proofErr w:type="gramStart"/>
      <w:r w:rsidRPr="00147F45">
        <w:rPr>
          <w:rFonts w:ascii="Source Sans Pro" w:hAnsi="Source Sans Pro"/>
          <w:sz w:val="24"/>
          <w:szCs w:val="24"/>
        </w:rPr>
        <w:t>so as to</w:t>
      </w:r>
      <w:proofErr w:type="gramEnd"/>
      <w:r w:rsidRPr="00147F45">
        <w:rPr>
          <w:rFonts w:ascii="Source Sans Pro" w:hAnsi="Source Sans Pro"/>
          <w:sz w:val="24"/>
          <w:szCs w:val="24"/>
        </w:rPr>
        <w:t xml:space="preserve"> improve and enhance community facilities for all. </w:t>
      </w:r>
    </w:p>
    <w:p w14:paraId="685BD84B" w14:textId="77777777" w:rsidR="00DC7FBE" w:rsidRPr="00147F45" w:rsidRDefault="00DC7FBE" w:rsidP="00DC7FBE">
      <w:pPr>
        <w:tabs>
          <w:tab w:val="left" w:pos="4828"/>
        </w:tabs>
        <w:rPr>
          <w:rFonts w:ascii="Source Sans Pro" w:hAnsi="Source Sans Pro"/>
          <w:b/>
          <w:bCs/>
          <w:sz w:val="24"/>
          <w:szCs w:val="24"/>
          <w:u w:val="single"/>
        </w:rPr>
      </w:pPr>
    </w:p>
    <w:p w14:paraId="6D5BEA53" w14:textId="77777777"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Target groups </w:t>
      </w:r>
    </w:p>
    <w:p w14:paraId="074F911E"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This funding is targeted towards supporting communities that are impacted by disadvantage as identified in the LECP. </w:t>
      </w:r>
    </w:p>
    <w:p w14:paraId="2B2C1671" w14:textId="77777777" w:rsidR="00DC7FBE" w:rsidRPr="00147F45" w:rsidRDefault="00DC7FBE" w:rsidP="00DC7FBE">
      <w:pPr>
        <w:tabs>
          <w:tab w:val="left" w:pos="4828"/>
        </w:tabs>
        <w:rPr>
          <w:rFonts w:ascii="Source Sans Pro" w:hAnsi="Source Sans Pro"/>
          <w:b/>
          <w:bCs/>
          <w:sz w:val="24"/>
          <w:szCs w:val="24"/>
          <w:u w:val="single"/>
        </w:rPr>
      </w:pPr>
    </w:p>
    <w:p w14:paraId="586E0408" w14:textId="127EF28F"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3b. What is not eligible for funding?</w:t>
      </w:r>
    </w:p>
    <w:p w14:paraId="3B1F300B"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The following expenditure is not eligible for funding: </w:t>
      </w:r>
    </w:p>
    <w:p w14:paraId="5A2481E6"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 xml:space="preserve">Any project not in keeping with the ethos of the Programme </w:t>
      </w:r>
    </w:p>
    <w:p w14:paraId="4598440C"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 xml:space="preserve">Costs incurred prior the Department </w:t>
      </w:r>
      <w:proofErr w:type="gramStart"/>
      <w:r w:rsidRPr="00147F45">
        <w:rPr>
          <w:rFonts w:ascii="Source Sans Pro" w:hAnsi="Source Sans Pro" w:cs="Arial"/>
          <w:sz w:val="24"/>
          <w:szCs w:val="24"/>
        </w:rPr>
        <w:t>announcing</w:t>
      </w:r>
      <w:proofErr w:type="gramEnd"/>
      <w:r w:rsidRPr="00147F45">
        <w:rPr>
          <w:rFonts w:ascii="Source Sans Pro" w:hAnsi="Source Sans Pro" w:cs="Arial"/>
          <w:sz w:val="24"/>
          <w:szCs w:val="24"/>
        </w:rPr>
        <w:t xml:space="preserve"> the list of successful projects</w:t>
      </w:r>
    </w:p>
    <w:p w14:paraId="7D7764FC"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lastRenderedPageBreak/>
        <w:t>Any costs that are current in nature e.g. programming, training</w:t>
      </w:r>
    </w:p>
    <w:p w14:paraId="686A1593"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Employment costs</w:t>
      </w:r>
    </w:p>
    <w:p w14:paraId="48CA9652"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Legal fees</w:t>
      </w:r>
    </w:p>
    <w:p w14:paraId="1EF5B38A"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Project management fees</w:t>
      </w:r>
    </w:p>
    <w:p w14:paraId="52F57040"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 xml:space="preserve">Purchase of </w:t>
      </w:r>
      <w:proofErr w:type="gramStart"/>
      <w:r w:rsidRPr="00147F45">
        <w:rPr>
          <w:rFonts w:ascii="Source Sans Pro" w:hAnsi="Source Sans Pro" w:cs="Arial"/>
          <w:sz w:val="24"/>
          <w:szCs w:val="24"/>
        </w:rPr>
        <w:t>lands</w:t>
      </w:r>
      <w:proofErr w:type="gramEnd"/>
      <w:r w:rsidRPr="00147F45">
        <w:rPr>
          <w:rFonts w:ascii="Source Sans Pro" w:hAnsi="Source Sans Pro" w:cs="Arial"/>
          <w:sz w:val="24"/>
          <w:szCs w:val="24"/>
        </w:rPr>
        <w:t xml:space="preserve"> or buildings</w:t>
      </w:r>
    </w:p>
    <w:p w14:paraId="2CE02D27"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Feasibility studies</w:t>
      </w:r>
    </w:p>
    <w:p w14:paraId="2F310C35"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b/>
          <w:color w:val="FF0000"/>
          <w:sz w:val="24"/>
          <w:szCs w:val="24"/>
          <w:u w:val="single"/>
        </w:rPr>
      </w:pPr>
      <w:r w:rsidRPr="00147F45">
        <w:rPr>
          <w:rFonts w:ascii="Source Sans Pro" w:hAnsi="Source Sans Pro" w:cs="Arial"/>
          <w:sz w:val="24"/>
          <w:szCs w:val="24"/>
        </w:rPr>
        <w:t>Private or commercial operations</w:t>
      </w:r>
    </w:p>
    <w:p w14:paraId="07AE1B55" w14:textId="77777777" w:rsidR="00DC7FBE" w:rsidRPr="00147F45" w:rsidRDefault="00DC7FBE" w:rsidP="00DC7FBE">
      <w:pPr>
        <w:pStyle w:val="ListParagraph"/>
        <w:numPr>
          <w:ilvl w:val="0"/>
          <w:numId w:val="2"/>
        </w:numPr>
        <w:spacing w:after="0" w:line="240" w:lineRule="auto"/>
        <w:ind w:left="357" w:hanging="357"/>
        <w:rPr>
          <w:rFonts w:ascii="Source Sans Pro" w:hAnsi="Source Sans Pro" w:cs="Arial"/>
          <w:bCs/>
          <w:sz w:val="24"/>
          <w:szCs w:val="24"/>
        </w:rPr>
      </w:pPr>
      <w:r w:rsidRPr="00147F45">
        <w:rPr>
          <w:rFonts w:ascii="Source Sans Pro" w:hAnsi="Source Sans Pro" w:cs="Arial"/>
          <w:bCs/>
          <w:sz w:val="24"/>
          <w:szCs w:val="24"/>
        </w:rPr>
        <w:t>Costs which are being paid for by another funder or department</w:t>
      </w:r>
    </w:p>
    <w:p w14:paraId="399ACC62" w14:textId="0B1C5CE5" w:rsidR="00DC7FBE" w:rsidRPr="00147F45" w:rsidRDefault="00DC7FBE" w:rsidP="00DC7FBE">
      <w:pPr>
        <w:tabs>
          <w:tab w:val="left" w:pos="4828"/>
        </w:tabs>
        <w:rPr>
          <w:rFonts w:ascii="Source Sans Pro" w:hAnsi="Source Sans Pro"/>
          <w:sz w:val="24"/>
          <w:szCs w:val="24"/>
          <w:lang w:val="en-IE"/>
        </w:rPr>
      </w:pPr>
    </w:p>
    <w:p w14:paraId="292379CD" w14:textId="77777777"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4. REQUIREMENTS OF THE PROGRAMME </w:t>
      </w:r>
    </w:p>
    <w:p w14:paraId="30880632" w14:textId="77777777" w:rsidR="00DC7FBE" w:rsidRPr="00147F45" w:rsidRDefault="00DC7FBE" w:rsidP="00DC7FBE">
      <w:pPr>
        <w:tabs>
          <w:tab w:val="left" w:pos="4828"/>
        </w:tabs>
        <w:rPr>
          <w:rFonts w:ascii="Source Sans Pro" w:hAnsi="Source Sans Pro"/>
          <w:sz w:val="24"/>
          <w:szCs w:val="24"/>
        </w:rPr>
      </w:pPr>
    </w:p>
    <w:p w14:paraId="760F594D"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The following conditions apply to all projects. Depending on the nature of your project (and the group applying), there may be further requirements that must be met. The LCDC/LA will discuss this with you, if your application is successful. </w:t>
      </w:r>
    </w:p>
    <w:p w14:paraId="0535D35B" w14:textId="77777777" w:rsidR="00DC7FBE" w:rsidRPr="00147F45" w:rsidRDefault="00DC7FBE" w:rsidP="00DC7FBE">
      <w:pPr>
        <w:tabs>
          <w:tab w:val="left" w:pos="4828"/>
        </w:tabs>
        <w:rPr>
          <w:rFonts w:ascii="Source Sans Pro" w:hAnsi="Source Sans Pro"/>
          <w:sz w:val="24"/>
          <w:szCs w:val="24"/>
        </w:rPr>
      </w:pPr>
    </w:p>
    <w:p w14:paraId="1FB688F7" w14:textId="77777777" w:rsidR="00DC7FBE" w:rsidRPr="00147F45" w:rsidRDefault="00DC7FBE"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Tax Requirements </w:t>
      </w:r>
    </w:p>
    <w:p w14:paraId="02C9CF18" w14:textId="77777777" w:rsidR="00DC7FBE" w:rsidRPr="00147F45" w:rsidRDefault="00DC7FBE"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The applicant group/organisation </w:t>
      </w:r>
      <w:proofErr w:type="gramStart"/>
      <w:r w:rsidRPr="00147F45">
        <w:rPr>
          <w:rFonts w:ascii="Source Sans Pro" w:hAnsi="Source Sans Pro"/>
          <w:sz w:val="24"/>
          <w:szCs w:val="24"/>
        </w:rPr>
        <w:t>has to</w:t>
      </w:r>
      <w:proofErr w:type="gramEnd"/>
      <w:r w:rsidRPr="00147F45">
        <w:rPr>
          <w:rFonts w:ascii="Source Sans Pro" w:hAnsi="Source Sans Pro"/>
          <w:sz w:val="24"/>
          <w:szCs w:val="24"/>
        </w:rPr>
        <w:t xml:space="preserve"> be registered for tax purposes. </w:t>
      </w:r>
    </w:p>
    <w:p w14:paraId="4B18998C" w14:textId="38B13EFA" w:rsidR="00DC7FBE" w:rsidRPr="00147F45" w:rsidRDefault="00DC7FBE"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Any applicant group/organisation that is registered for tax purposes must be tax compliant. In line with revised tax clearance procedures, which came into effect in January 2016, the Tax Clearance Access Number and Tax Reference number must be submitted for verification purposes.</w:t>
      </w:r>
    </w:p>
    <w:p w14:paraId="1A11BA3C" w14:textId="77777777" w:rsidR="007E3069" w:rsidRPr="00147F45" w:rsidRDefault="007E3069" w:rsidP="00DC7FBE">
      <w:pPr>
        <w:tabs>
          <w:tab w:val="left" w:pos="4828"/>
        </w:tabs>
        <w:rPr>
          <w:rFonts w:ascii="Source Sans Pro" w:hAnsi="Source Sans Pro"/>
          <w:sz w:val="24"/>
          <w:szCs w:val="24"/>
        </w:rPr>
      </w:pPr>
    </w:p>
    <w:p w14:paraId="3A6B0F31"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Statutory Consents</w:t>
      </w:r>
      <w:r w:rsidRPr="00147F45">
        <w:rPr>
          <w:rFonts w:ascii="Source Sans Pro" w:hAnsi="Source Sans Pro"/>
          <w:sz w:val="24"/>
          <w:szCs w:val="24"/>
        </w:rPr>
        <w:t xml:space="preserve"> - Applicants must ensure that all necessary statutory permissions or consents have been obtained before any works commence. This includes but is not confined to planning permission. </w:t>
      </w:r>
    </w:p>
    <w:p w14:paraId="07761530" w14:textId="77777777" w:rsidR="007E3069" w:rsidRPr="00147F45" w:rsidRDefault="007E3069" w:rsidP="00DC7FBE">
      <w:pPr>
        <w:tabs>
          <w:tab w:val="left" w:pos="4828"/>
        </w:tabs>
        <w:rPr>
          <w:rFonts w:ascii="Source Sans Pro" w:hAnsi="Source Sans Pro"/>
          <w:sz w:val="24"/>
          <w:szCs w:val="24"/>
        </w:rPr>
      </w:pPr>
    </w:p>
    <w:p w14:paraId="1A92E702"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Insurance</w:t>
      </w:r>
      <w:r w:rsidRPr="00147F45">
        <w:rPr>
          <w:rFonts w:ascii="Source Sans Pro" w:hAnsi="Source Sans Pro"/>
          <w:sz w:val="24"/>
          <w:szCs w:val="24"/>
        </w:rPr>
        <w:t xml:space="preserve"> - Written evidence of a valid insurance policy may be requested by the LCDC, where relevant, during the applications review process. </w:t>
      </w:r>
    </w:p>
    <w:p w14:paraId="0A565D0C" w14:textId="77777777" w:rsidR="007E3069" w:rsidRPr="00147F45" w:rsidRDefault="007E3069" w:rsidP="00DC7FBE">
      <w:pPr>
        <w:tabs>
          <w:tab w:val="left" w:pos="4828"/>
        </w:tabs>
        <w:rPr>
          <w:rFonts w:ascii="Source Sans Pro" w:hAnsi="Source Sans Pro"/>
          <w:sz w:val="24"/>
          <w:szCs w:val="24"/>
        </w:rPr>
      </w:pPr>
    </w:p>
    <w:p w14:paraId="57AC6378"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Acknowledgment of funding</w:t>
      </w:r>
      <w:r w:rsidRPr="00147F45">
        <w:rPr>
          <w:rFonts w:ascii="Source Sans Pro" w:hAnsi="Source Sans Pro"/>
          <w:sz w:val="24"/>
          <w:szCs w:val="24"/>
        </w:rPr>
        <w:t xml:space="preserve"> - Due to the value of some of these grants, it would not be cost-effective to require signage acknowledging the Department, Local Authority or LCDC. Other suitable acknowledgements will suffice e.g. on a group/organisation’s website or social media platforms. Where signage is developed it must acknowledge the contribution of the Department of Rural and Community Development. </w:t>
      </w:r>
    </w:p>
    <w:p w14:paraId="01319212" w14:textId="77777777" w:rsidR="007E3069" w:rsidRPr="00147F45" w:rsidRDefault="007E3069" w:rsidP="00DC7FBE">
      <w:pPr>
        <w:tabs>
          <w:tab w:val="left" w:pos="4828"/>
        </w:tabs>
        <w:rPr>
          <w:rFonts w:ascii="Source Sans Pro" w:hAnsi="Source Sans Pro"/>
          <w:sz w:val="24"/>
          <w:szCs w:val="24"/>
        </w:rPr>
      </w:pPr>
    </w:p>
    <w:p w14:paraId="7DB54F06" w14:textId="0B70CB3D"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Match-funding</w:t>
      </w:r>
      <w:r w:rsidRPr="00147F45">
        <w:rPr>
          <w:rFonts w:ascii="Source Sans Pro" w:hAnsi="Source Sans Pro"/>
          <w:sz w:val="24"/>
          <w:szCs w:val="24"/>
        </w:rPr>
        <w:t xml:space="preserve"> - this is </w:t>
      </w:r>
      <w:r w:rsidRPr="00147F45">
        <w:rPr>
          <w:rFonts w:ascii="Source Sans Pro" w:hAnsi="Source Sans Pro"/>
          <w:b/>
          <w:bCs/>
          <w:sz w:val="24"/>
          <w:szCs w:val="24"/>
        </w:rPr>
        <w:t>not</w:t>
      </w:r>
      <w:r w:rsidRPr="00147F45">
        <w:rPr>
          <w:rFonts w:ascii="Source Sans Pro" w:hAnsi="Source Sans Pro"/>
          <w:sz w:val="24"/>
          <w:szCs w:val="24"/>
        </w:rPr>
        <w:t xml:space="preserve"> a requirement under this programme.</w:t>
      </w:r>
    </w:p>
    <w:p w14:paraId="2DCFEE87" w14:textId="77777777" w:rsidR="007E3069" w:rsidRPr="00147F45" w:rsidRDefault="007E3069" w:rsidP="00DC7FBE">
      <w:pPr>
        <w:tabs>
          <w:tab w:val="left" w:pos="4828"/>
        </w:tabs>
        <w:rPr>
          <w:rFonts w:ascii="Source Sans Pro" w:hAnsi="Source Sans Pro"/>
          <w:sz w:val="24"/>
          <w:szCs w:val="24"/>
        </w:rPr>
      </w:pPr>
    </w:p>
    <w:p w14:paraId="7808AEDD" w14:textId="77777777" w:rsidR="00A97A51" w:rsidRPr="00147F45" w:rsidRDefault="00A97A51" w:rsidP="00DC7FBE">
      <w:pPr>
        <w:tabs>
          <w:tab w:val="left" w:pos="4828"/>
        </w:tabs>
        <w:rPr>
          <w:rFonts w:ascii="Source Sans Pro" w:hAnsi="Source Sans Pro"/>
          <w:b/>
          <w:bCs/>
          <w:sz w:val="24"/>
          <w:szCs w:val="24"/>
          <w:u w:val="single"/>
        </w:rPr>
      </w:pPr>
    </w:p>
    <w:p w14:paraId="488D5FEB" w14:textId="77777777" w:rsidR="00A97A51" w:rsidRPr="00147F45" w:rsidRDefault="00A97A51" w:rsidP="00DC7FBE">
      <w:pPr>
        <w:tabs>
          <w:tab w:val="left" w:pos="4828"/>
        </w:tabs>
        <w:rPr>
          <w:rFonts w:ascii="Source Sans Pro" w:hAnsi="Source Sans Pro"/>
          <w:b/>
          <w:bCs/>
          <w:sz w:val="24"/>
          <w:szCs w:val="24"/>
          <w:u w:val="single"/>
        </w:rPr>
      </w:pPr>
    </w:p>
    <w:p w14:paraId="55F45302" w14:textId="77777777" w:rsidR="00A97A51" w:rsidRPr="00147F45" w:rsidRDefault="00A97A51" w:rsidP="00DC7FBE">
      <w:pPr>
        <w:tabs>
          <w:tab w:val="left" w:pos="4828"/>
        </w:tabs>
        <w:rPr>
          <w:rFonts w:ascii="Source Sans Pro" w:hAnsi="Source Sans Pro"/>
          <w:b/>
          <w:bCs/>
          <w:sz w:val="24"/>
          <w:szCs w:val="24"/>
          <w:u w:val="single"/>
        </w:rPr>
      </w:pPr>
    </w:p>
    <w:p w14:paraId="00868AB2" w14:textId="72A5993B" w:rsidR="007E3069" w:rsidRPr="00147F45" w:rsidRDefault="007E3069"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lastRenderedPageBreak/>
        <w:t xml:space="preserve">5. SELECTION CRITERIA </w:t>
      </w:r>
    </w:p>
    <w:p w14:paraId="02C000CB" w14:textId="77777777" w:rsidR="007E3069" w:rsidRPr="00147F45" w:rsidRDefault="007E3069" w:rsidP="00DC7FBE">
      <w:pPr>
        <w:tabs>
          <w:tab w:val="left" w:pos="4828"/>
        </w:tabs>
        <w:rPr>
          <w:rFonts w:ascii="Source Sans Pro" w:hAnsi="Source Sans Pro"/>
          <w:sz w:val="24"/>
          <w:szCs w:val="24"/>
        </w:rPr>
      </w:pPr>
    </w:p>
    <w:p w14:paraId="61BB189B"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Applications will be evaluated by the LCDC to ensure eligibility and that they are targeted at addressing disadvantage as identified in its LECP. Projects must be in keeping with the ethos of the programme, which is to provide funding to communities across Ireland to enhance facilities in disadvantaged areas. </w:t>
      </w:r>
    </w:p>
    <w:p w14:paraId="19A09E80" w14:textId="77777777" w:rsidR="007E3069" w:rsidRPr="00147F45" w:rsidRDefault="007E3069" w:rsidP="00DC7FBE">
      <w:pPr>
        <w:tabs>
          <w:tab w:val="left" w:pos="4828"/>
        </w:tabs>
        <w:rPr>
          <w:rFonts w:ascii="Source Sans Pro" w:hAnsi="Source Sans Pro"/>
          <w:sz w:val="24"/>
          <w:szCs w:val="24"/>
        </w:rPr>
      </w:pPr>
    </w:p>
    <w:p w14:paraId="4A5BCC0C"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Projects may also be judged having regard to how they: </w:t>
      </w:r>
    </w:p>
    <w:p w14:paraId="79048153"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support local groups and clubs, which serve their </w:t>
      </w:r>
      <w:proofErr w:type="gramStart"/>
      <w:r w:rsidRPr="00147F45">
        <w:rPr>
          <w:rFonts w:ascii="Source Sans Pro" w:hAnsi="Source Sans Pro"/>
          <w:sz w:val="24"/>
          <w:szCs w:val="24"/>
        </w:rPr>
        <w:t>communities;</w:t>
      </w:r>
      <w:proofErr w:type="gramEnd"/>
      <w:r w:rsidRPr="00147F45">
        <w:rPr>
          <w:rFonts w:ascii="Source Sans Pro" w:hAnsi="Source Sans Pro"/>
          <w:sz w:val="24"/>
          <w:szCs w:val="24"/>
        </w:rPr>
        <w:t xml:space="preserve"> </w:t>
      </w:r>
    </w:p>
    <w:p w14:paraId="4EA4E5EA"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increase the number people that can be supported by the group, including through accessibility improvements, new community integration measures or safety </w:t>
      </w:r>
      <w:proofErr w:type="gramStart"/>
      <w:r w:rsidRPr="00147F45">
        <w:rPr>
          <w:rFonts w:ascii="Source Sans Pro" w:hAnsi="Source Sans Pro"/>
          <w:sz w:val="24"/>
          <w:szCs w:val="24"/>
        </w:rPr>
        <w:t>improvements;</w:t>
      </w:r>
      <w:proofErr w:type="gramEnd"/>
      <w:r w:rsidRPr="00147F45">
        <w:rPr>
          <w:rFonts w:ascii="Source Sans Pro" w:hAnsi="Source Sans Pro"/>
          <w:sz w:val="24"/>
          <w:szCs w:val="24"/>
        </w:rPr>
        <w:t xml:space="preserve"> </w:t>
      </w:r>
    </w:p>
    <w:p w14:paraId="704A4075"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invest to increase or extend the use of the facility, for example, to voluntary and community </w:t>
      </w:r>
      <w:proofErr w:type="gramStart"/>
      <w:r w:rsidRPr="00147F45">
        <w:rPr>
          <w:rFonts w:ascii="Source Sans Pro" w:hAnsi="Source Sans Pro"/>
          <w:sz w:val="24"/>
          <w:szCs w:val="24"/>
        </w:rPr>
        <w:t>groups;</w:t>
      </w:r>
      <w:proofErr w:type="gramEnd"/>
      <w:r w:rsidRPr="00147F45">
        <w:rPr>
          <w:rFonts w:ascii="Source Sans Pro" w:hAnsi="Source Sans Pro"/>
          <w:sz w:val="24"/>
          <w:szCs w:val="24"/>
        </w:rPr>
        <w:t xml:space="preserve"> </w:t>
      </w:r>
    </w:p>
    <w:p w14:paraId="37D386BF"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reduce the annual running cost of a </w:t>
      </w:r>
      <w:proofErr w:type="gramStart"/>
      <w:r w:rsidRPr="00147F45">
        <w:rPr>
          <w:rFonts w:ascii="Source Sans Pro" w:hAnsi="Source Sans Pro"/>
          <w:sz w:val="24"/>
          <w:szCs w:val="24"/>
        </w:rPr>
        <w:t>facility;</w:t>
      </w:r>
      <w:proofErr w:type="gramEnd"/>
      <w:r w:rsidRPr="00147F45">
        <w:rPr>
          <w:rFonts w:ascii="Source Sans Pro" w:hAnsi="Source Sans Pro"/>
          <w:sz w:val="24"/>
          <w:szCs w:val="24"/>
        </w:rPr>
        <w:t xml:space="preserve"> </w:t>
      </w:r>
    </w:p>
    <w:p w14:paraId="1A6F2A20"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have a positive impact on the environment, for example, a reduction in energy </w:t>
      </w:r>
      <w:proofErr w:type="gramStart"/>
      <w:r w:rsidRPr="00147F45">
        <w:rPr>
          <w:rFonts w:ascii="Source Sans Pro" w:hAnsi="Source Sans Pro"/>
          <w:sz w:val="24"/>
          <w:szCs w:val="24"/>
        </w:rPr>
        <w:t>consumption;</w:t>
      </w:r>
      <w:proofErr w:type="gramEnd"/>
      <w:r w:rsidRPr="00147F45">
        <w:rPr>
          <w:rFonts w:ascii="Source Sans Pro" w:hAnsi="Source Sans Pro"/>
          <w:sz w:val="24"/>
          <w:szCs w:val="24"/>
        </w:rPr>
        <w:t xml:space="preserve"> </w:t>
      </w:r>
    </w:p>
    <w:p w14:paraId="32731569"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demonstrate collaboration with the local authority or other relevant bodies in the catchment </w:t>
      </w:r>
      <w:proofErr w:type="gramStart"/>
      <w:r w:rsidRPr="00147F45">
        <w:rPr>
          <w:rFonts w:ascii="Source Sans Pro" w:hAnsi="Source Sans Pro"/>
          <w:sz w:val="24"/>
          <w:szCs w:val="24"/>
        </w:rPr>
        <w:t>area;</w:t>
      </w:r>
      <w:proofErr w:type="gramEnd"/>
      <w:r w:rsidRPr="00147F45">
        <w:rPr>
          <w:rFonts w:ascii="Source Sans Pro" w:hAnsi="Source Sans Pro"/>
          <w:sz w:val="24"/>
          <w:szCs w:val="24"/>
        </w:rPr>
        <w:t xml:space="preserve"> </w:t>
      </w:r>
    </w:p>
    <w:p w14:paraId="70EB2F14"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support the creation of a sense of place within the community including through the enhancement of the built </w:t>
      </w:r>
      <w:proofErr w:type="gramStart"/>
      <w:r w:rsidRPr="00147F45">
        <w:rPr>
          <w:rFonts w:ascii="Source Sans Pro" w:hAnsi="Source Sans Pro"/>
          <w:sz w:val="24"/>
          <w:szCs w:val="24"/>
        </w:rPr>
        <w:t>environment;</w:t>
      </w:r>
      <w:proofErr w:type="gramEnd"/>
      <w:r w:rsidRPr="00147F45">
        <w:rPr>
          <w:rFonts w:ascii="Source Sans Pro" w:hAnsi="Source Sans Pro"/>
          <w:sz w:val="24"/>
          <w:szCs w:val="24"/>
        </w:rPr>
        <w:t xml:space="preserve"> </w:t>
      </w:r>
    </w:p>
    <w:p w14:paraId="288E3516"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address health and safety issues; and/or, </w:t>
      </w:r>
    </w:p>
    <w:p w14:paraId="68B05979" w14:textId="097A013D"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invest in technology which will be accessed by individuals and communities that are impacted by disadvantage.</w:t>
      </w:r>
    </w:p>
    <w:p w14:paraId="349BB333" w14:textId="77777777" w:rsidR="007E3069" w:rsidRPr="00147F45" w:rsidRDefault="007E3069" w:rsidP="00DC7FBE">
      <w:pPr>
        <w:tabs>
          <w:tab w:val="left" w:pos="4828"/>
        </w:tabs>
        <w:rPr>
          <w:rFonts w:ascii="Source Sans Pro" w:hAnsi="Source Sans Pro"/>
          <w:sz w:val="24"/>
          <w:szCs w:val="24"/>
        </w:rPr>
      </w:pPr>
    </w:p>
    <w:p w14:paraId="4942C8DB" w14:textId="43D0461F"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Projects may also be judged having regard to additional criteria deemed appropriate by the LCDC which demonstrate the added value of the project or element of a project in suitably addressing the programme's aims in each Local Authority administrative area</w:t>
      </w:r>
      <w:r w:rsidRPr="00147F45">
        <w:rPr>
          <w:rFonts w:ascii="Source Sans Pro" w:hAnsi="Source Sans Pro"/>
          <w:sz w:val="24"/>
          <w:szCs w:val="24"/>
        </w:rPr>
        <w:t>.</w:t>
      </w:r>
    </w:p>
    <w:p w14:paraId="478E9831" w14:textId="77777777" w:rsidR="007E3069" w:rsidRPr="00147F45" w:rsidRDefault="007E3069" w:rsidP="00DC7FBE">
      <w:pPr>
        <w:tabs>
          <w:tab w:val="left" w:pos="4828"/>
        </w:tabs>
        <w:rPr>
          <w:rFonts w:ascii="Source Sans Pro" w:hAnsi="Source Sans Pro"/>
          <w:sz w:val="24"/>
          <w:szCs w:val="24"/>
        </w:rPr>
      </w:pPr>
    </w:p>
    <w:p w14:paraId="12068B1B" w14:textId="77777777" w:rsidR="007E3069" w:rsidRPr="00147F45" w:rsidRDefault="007E3069"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6. CORPORATE GOVERNANCE </w:t>
      </w:r>
    </w:p>
    <w:p w14:paraId="1DDBE199" w14:textId="77777777" w:rsidR="007E3069" w:rsidRPr="00147F45" w:rsidRDefault="007E3069"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6a. Monitoring: </w:t>
      </w:r>
    </w:p>
    <w:p w14:paraId="6995755D" w14:textId="69BED8C1"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Grantees will be required to comply with the highest standard of transparency and accountability as documented in Department of Public Expenditure and Reform Circular 13/2014 - Management of and Accountability for Grants from Exchequer Funds </w:t>
      </w:r>
      <w:hyperlink r:id="rId10" w:history="1">
        <w:r w:rsidRPr="00147F45">
          <w:rPr>
            <w:rStyle w:val="Hyperlink"/>
            <w:rFonts w:ascii="Source Sans Pro" w:hAnsi="Source Sans Pro"/>
            <w:sz w:val="24"/>
            <w:szCs w:val="24"/>
          </w:rPr>
          <w:t>http://circulars.gov.ie/pdf/circular/per/2014/13.pdf</w:t>
        </w:r>
      </w:hyperlink>
      <w:r w:rsidRPr="00147F45">
        <w:rPr>
          <w:rFonts w:ascii="Source Sans Pro" w:hAnsi="Source Sans Pro"/>
          <w:sz w:val="24"/>
          <w:szCs w:val="24"/>
        </w:rPr>
        <w:t xml:space="preserve"> </w:t>
      </w:r>
    </w:p>
    <w:p w14:paraId="13330087" w14:textId="77777777" w:rsidR="007E3069" w:rsidRPr="00147F45" w:rsidRDefault="007E3069" w:rsidP="00DC7FBE">
      <w:pPr>
        <w:tabs>
          <w:tab w:val="left" w:pos="4828"/>
        </w:tabs>
        <w:rPr>
          <w:rFonts w:ascii="Source Sans Pro" w:hAnsi="Source Sans Pro"/>
          <w:sz w:val="24"/>
          <w:szCs w:val="24"/>
        </w:rPr>
      </w:pPr>
    </w:p>
    <w:p w14:paraId="427EAF00"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The overall principle is that there should be transparency and accountability in the management of public funds, in line with economy, efficiency and effectiveness. The circular outlines, for example, that grant recipients should not dispose of </w:t>
      </w:r>
      <w:r w:rsidRPr="00147F45">
        <w:rPr>
          <w:rFonts w:ascii="Source Sans Pro" w:hAnsi="Source Sans Pro"/>
          <w:sz w:val="24"/>
          <w:szCs w:val="24"/>
        </w:rPr>
        <w:t>publicly</w:t>
      </w:r>
      <w:r w:rsidRPr="00147F45">
        <w:rPr>
          <w:rFonts w:ascii="Source Sans Pro" w:hAnsi="Source Sans Pro"/>
          <w:sz w:val="24"/>
          <w:szCs w:val="24"/>
        </w:rPr>
        <w:t xml:space="preserve"> funded assets without prior approval. </w:t>
      </w:r>
    </w:p>
    <w:p w14:paraId="23DDCF9C" w14:textId="77777777" w:rsidR="007E3069" w:rsidRPr="00147F45" w:rsidRDefault="007E3069" w:rsidP="00DC7FBE">
      <w:pPr>
        <w:tabs>
          <w:tab w:val="left" w:pos="4828"/>
        </w:tabs>
        <w:rPr>
          <w:rFonts w:ascii="Source Sans Pro" w:hAnsi="Source Sans Pro"/>
          <w:sz w:val="24"/>
          <w:szCs w:val="24"/>
        </w:rPr>
      </w:pPr>
    </w:p>
    <w:p w14:paraId="2F008464" w14:textId="77777777" w:rsidR="007E3069" w:rsidRPr="00147F45" w:rsidRDefault="007E3069"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6b. The Code of Governance for Community and Voluntary organisations </w:t>
      </w:r>
    </w:p>
    <w:p w14:paraId="4E98229F" w14:textId="53B128CA"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The Department is encouraging funded bodies to adopt the Governance Code, a Code of Practice for Good Governance of Community, Voluntary and Charitable Organisations, which will assist in achieving excellence in all areas of their work. The Governance Code asks organisations to agree to operate to key principles </w:t>
      </w:r>
      <w:proofErr w:type="gramStart"/>
      <w:r w:rsidRPr="00147F45">
        <w:rPr>
          <w:rFonts w:ascii="Source Sans Pro" w:hAnsi="Source Sans Pro"/>
          <w:sz w:val="24"/>
          <w:szCs w:val="24"/>
        </w:rPr>
        <w:t>in order to</w:t>
      </w:r>
      <w:proofErr w:type="gramEnd"/>
      <w:r w:rsidRPr="00147F45">
        <w:rPr>
          <w:rFonts w:ascii="Source Sans Pro" w:hAnsi="Source Sans Pro"/>
          <w:sz w:val="24"/>
          <w:szCs w:val="24"/>
        </w:rPr>
        <w:t xml:space="preserve"> run their organisation more effectively in areas such as leadership, transparency and accountability and behaving with integrity. Further information on the Code is available at </w:t>
      </w:r>
      <w:hyperlink r:id="rId11" w:history="1">
        <w:r w:rsidRPr="00147F45">
          <w:rPr>
            <w:rStyle w:val="Hyperlink"/>
            <w:rFonts w:ascii="Source Sans Pro" w:hAnsi="Source Sans Pro"/>
            <w:sz w:val="24"/>
            <w:szCs w:val="24"/>
          </w:rPr>
          <w:t>The Governance Code for Community and Voluntary Organisations</w:t>
        </w:r>
      </w:hyperlink>
    </w:p>
    <w:p w14:paraId="5C88F9CD" w14:textId="77777777" w:rsidR="00A97A51" w:rsidRPr="00147F45" w:rsidRDefault="00A97A51" w:rsidP="00DC7FBE">
      <w:pPr>
        <w:tabs>
          <w:tab w:val="left" w:pos="4828"/>
        </w:tabs>
        <w:rPr>
          <w:rFonts w:ascii="Source Sans Pro" w:hAnsi="Source Sans Pro"/>
          <w:sz w:val="24"/>
          <w:szCs w:val="24"/>
        </w:rPr>
      </w:pPr>
    </w:p>
    <w:p w14:paraId="63634FFD" w14:textId="77777777" w:rsidR="00A97A51" w:rsidRPr="00147F45" w:rsidRDefault="00A97A51"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7. APPROVAL PROCEDURES </w:t>
      </w:r>
    </w:p>
    <w:p w14:paraId="55985EB7" w14:textId="77777777" w:rsidR="00A97A51" w:rsidRPr="00147F45" w:rsidRDefault="00A97A51" w:rsidP="00DC7FBE">
      <w:pPr>
        <w:tabs>
          <w:tab w:val="left" w:pos="4828"/>
        </w:tabs>
        <w:rPr>
          <w:rFonts w:ascii="Source Sans Pro" w:hAnsi="Source Sans Pro"/>
          <w:sz w:val="24"/>
          <w:szCs w:val="24"/>
        </w:rPr>
      </w:pPr>
    </w:p>
    <w:p w14:paraId="4A50F2FE"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All applications for funding under this programme received by each LCDC will be reviewed and assessed to ensure consistency with the relevant Local Economic and Community Plan (LECP). </w:t>
      </w:r>
    </w:p>
    <w:p w14:paraId="33C3C262" w14:textId="77777777" w:rsidR="00A97A51" w:rsidRPr="00147F45" w:rsidRDefault="00A97A51" w:rsidP="00DC7FBE">
      <w:pPr>
        <w:tabs>
          <w:tab w:val="left" w:pos="4828"/>
        </w:tabs>
        <w:rPr>
          <w:rFonts w:ascii="Source Sans Pro" w:hAnsi="Source Sans Pro"/>
          <w:sz w:val="24"/>
          <w:szCs w:val="24"/>
        </w:rPr>
      </w:pPr>
    </w:p>
    <w:p w14:paraId="71EC2888" w14:textId="06A4FF71"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In deciding the final allocations of funding to projects, the LCDC may take account of </w:t>
      </w:r>
      <w:proofErr w:type="gramStart"/>
      <w:r w:rsidRPr="00147F45">
        <w:rPr>
          <w:rFonts w:ascii="Source Sans Pro" w:hAnsi="Source Sans Pro"/>
          <w:sz w:val="24"/>
          <w:szCs w:val="24"/>
        </w:rPr>
        <w:t>a number of</w:t>
      </w:r>
      <w:proofErr w:type="gramEnd"/>
      <w:r w:rsidRPr="00147F45">
        <w:rPr>
          <w:rFonts w:ascii="Source Sans Pro" w:hAnsi="Source Sans Pro"/>
          <w:sz w:val="24"/>
          <w:szCs w:val="24"/>
        </w:rPr>
        <w:t xml:space="preserve"> factors including geographical balance and the desirability to fund a variety of different projects and the relative disadvantage of the area where the facility is located (or will serve)</w:t>
      </w:r>
      <w:r w:rsidRPr="00147F45">
        <w:rPr>
          <w:rStyle w:val="FootnoteReference"/>
          <w:rFonts w:ascii="Source Sans Pro" w:hAnsi="Source Sans Pro"/>
          <w:sz w:val="24"/>
          <w:szCs w:val="24"/>
        </w:rPr>
        <w:footnoteReference w:id="2"/>
      </w:r>
      <w:r w:rsidRPr="00147F45">
        <w:rPr>
          <w:rFonts w:ascii="Source Sans Pro" w:hAnsi="Source Sans Pro"/>
          <w:sz w:val="24"/>
          <w:szCs w:val="24"/>
        </w:rPr>
        <w:t>.</w:t>
      </w:r>
    </w:p>
    <w:p w14:paraId="0E58DA87" w14:textId="77777777" w:rsidR="00A97A51" w:rsidRPr="00147F45" w:rsidRDefault="00A97A51" w:rsidP="00DC7FBE">
      <w:pPr>
        <w:tabs>
          <w:tab w:val="left" w:pos="4828"/>
        </w:tabs>
        <w:rPr>
          <w:rFonts w:ascii="Source Sans Pro" w:hAnsi="Source Sans Pro"/>
          <w:sz w:val="24"/>
          <w:szCs w:val="24"/>
        </w:rPr>
      </w:pPr>
    </w:p>
    <w:p w14:paraId="2383C06F"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Following the decision, each approved project, subject to the completion of legal formalities and other requirements, will receive an offer in principle of grant-aid. This will be subject to compliance with the relevant conditions and subject to the satisfactory acceptance by the applicant of that offer. </w:t>
      </w:r>
    </w:p>
    <w:p w14:paraId="380A91FC" w14:textId="77777777" w:rsidR="00A97A51" w:rsidRPr="00147F45" w:rsidRDefault="00A97A51" w:rsidP="00DC7FBE">
      <w:pPr>
        <w:tabs>
          <w:tab w:val="left" w:pos="4828"/>
        </w:tabs>
        <w:rPr>
          <w:rFonts w:ascii="Source Sans Pro" w:hAnsi="Source Sans Pro"/>
          <w:sz w:val="24"/>
          <w:szCs w:val="24"/>
        </w:rPr>
      </w:pPr>
    </w:p>
    <w:p w14:paraId="7842F661"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right is reserved to reassign the funds offered to another approved project if all requirements are not met within a reasonable period. This is a matter for the LCDC in question, who must inform the Department of their intention to do so. </w:t>
      </w:r>
    </w:p>
    <w:p w14:paraId="718BA173" w14:textId="77777777" w:rsidR="00A97A51" w:rsidRPr="00147F45" w:rsidRDefault="00A97A51" w:rsidP="00DC7FBE">
      <w:pPr>
        <w:tabs>
          <w:tab w:val="left" w:pos="4828"/>
        </w:tabs>
        <w:rPr>
          <w:rFonts w:ascii="Source Sans Pro" w:hAnsi="Source Sans Pro"/>
          <w:sz w:val="24"/>
          <w:szCs w:val="24"/>
        </w:rPr>
      </w:pPr>
    </w:p>
    <w:p w14:paraId="4AFE8312"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Department and/or the Local Authority reserve the right to carry out an audit of expenditure or conduct inspections from time to time. </w:t>
      </w:r>
    </w:p>
    <w:p w14:paraId="4223C849" w14:textId="77777777" w:rsidR="00A97A51" w:rsidRPr="00147F45" w:rsidRDefault="00A97A51" w:rsidP="00DC7FBE">
      <w:pPr>
        <w:tabs>
          <w:tab w:val="left" w:pos="4828"/>
        </w:tabs>
        <w:rPr>
          <w:rFonts w:ascii="Source Sans Pro" w:hAnsi="Source Sans Pro"/>
          <w:sz w:val="24"/>
          <w:szCs w:val="24"/>
        </w:rPr>
      </w:pPr>
    </w:p>
    <w:p w14:paraId="0905816B" w14:textId="77777777" w:rsidR="00A97A51"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Please Note: </w:t>
      </w:r>
    </w:p>
    <w:p w14:paraId="1FF89ADD"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Requests for assistance usually exceed the funds available and it is important therefore that the process of evaluation is rigorous. The purpose of this process is to ensure that the best projects, taking all factors into account, emerge and receive support. It is Departmental policy to ensure that every application is treated fairly and impartially.</w:t>
      </w:r>
    </w:p>
    <w:p w14:paraId="4AE468C6" w14:textId="77777777" w:rsidR="00A97A51" w:rsidRPr="00147F45" w:rsidRDefault="00A97A51" w:rsidP="00DC7FBE">
      <w:pPr>
        <w:tabs>
          <w:tab w:val="left" w:pos="4828"/>
        </w:tabs>
        <w:rPr>
          <w:rFonts w:ascii="Source Sans Pro" w:hAnsi="Source Sans Pro"/>
          <w:sz w:val="24"/>
          <w:szCs w:val="24"/>
        </w:rPr>
      </w:pPr>
    </w:p>
    <w:p w14:paraId="130E4807" w14:textId="6BE68880"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Offers of funding may be for a lesser amount than that sought by the applicant. Applicants should be aware that the Programme may be oversubscribed. Therefore, in such circumstances, all applications fulfilling the conditions may not be successful or may be for a lesser amount. </w:t>
      </w:r>
    </w:p>
    <w:p w14:paraId="1F62E5B9" w14:textId="77777777" w:rsidR="00A97A51" w:rsidRPr="00147F45" w:rsidRDefault="00A97A51" w:rsidP="00DC7FBE">
      <w:pPr>
        <w:tabs>
          <w:tab w:val="left" w:pos="4828"/>
        </w:tabs>
        <w:rPr>
          <w:rFonts w:ascii="Source Sans Pro" w:hAnsi="Source Sans Pro"/>
          <w:sz w:val="24"/>
          <w:szCs w:val="24"/>
        </w:rPr>
      </w:pPr>
    </w:p>
    <w:p w14:paraId="012CEBE7" w14:textId="19216732"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LCDC in evaluating proposals received may seek advice and consult with other </w:t>
      </w:r>
      <w:r w:rsidRPr="00147F45">
        <w:rPr>
          <w:rFonts w:ascii="Source Sans Pro" w:hAnsi="Source Sans Pro"/>
          <w:sz w:val="24"/>
          <w:szCs w:val="24"/>
        </w:rPr>
        <w:t>agencies and</w:t>
      </w:r>
      <w:r w:rsidRPr="00147F45">
        <w:rPr>
          <w:rFonts w:ascii="Source Sans Pro" w:hAnsi="Source Sans Pro"/>
          <w:sz w:val="24"/>
          <w:szCs w:val="24"/>
        </w:rPr>
        <w:t xml:space="preserve"> may disclose information on projects under consideration to those experts and agencies. </w:t>
      </w:r>
    </w:p>
    <w:p w14:paraId="2D7EF754" w14:textId="77777777" w:rsidR="00A97A51" w:rsidRPr="00147F45" w:rsidRDefault="00A97A51" w:rsidP="00DC7FBE">
      <w:pPr>
        <w:tabs>
          <w:tab w:val="left" w:pos="4828"/>
        </w:tabs>
        <w:rPr>
          <w:rFonts w:ascii="Source Sans Pro" w:hAnsi="Source Sans Pro"/>
          <w:sz w:val="24"/>
          <w:szCs w:val="24"/>
        </w:rPr>
      </w:pPr>
    </w:p>
    <w:p w14:paraId="30B401C0" w14:textId="77777777" w:rsidR="00A97A51" w:rsidRPr="00147F45" w:rsidRDefault="00A97A51"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8. GENERAL </w:t>
      </w:r>
    </w:p>
    <w:p w14:paraId="073606CF" w14:textId="77777777" w:rsidR="00A97A51" w:rsidRPr="00147F45" w:rsidRDefault="00A97A51" w:rsidP="00DC7FBE">
      <w:pPr>
        <w:tabs>
          <w:tab w:val="left" w:pos="4828"/>
        </w:tabs>
        <w:rPr>
          <w:rFonts w:ascii="Source Sans Pro" w:hAnsi="Source Sans Pro"/>
          <w:sz w:val="24"/>
          <w:szCs w:val="24"/>
        </w:rPr>
      </w:pPr>
    </w:p>
    <w:p w14:paraId="2E965657" w14:textId="77777777" w:rsidR="00615AE6"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information provided in this document is intended to give applicants an understanding of the process by which applications for funding are assessed and approved and does not purport to be a legal interpretation. </w:t>
      </w:r>
    </w:p>
    <w:p w14:paraId="06ECE205" w14:textId="77777777" w:rsidR="00615AE6" w:rsidRPr="00147F45" w:rsidRDefault="00615AE6" w:rsidP="00DC7FBE">
      <w:pPr>
        <w:tabs>
          <w:tab w:val="left" w:pos="4828"/>
        </w:tabs>
        <w:rPr>
          <w:rFonts w:ascii="Source Sans Pro" w:hAnsi="Source Sans Pro"/>
          <w:sz w:val="24"/>
          <w:szCs w:val="24"/>
        </w:rPr>
      </w:pPr>
    </w:p>
    <w:p w14:paraId="6070F612" w14:textId="77777777" w:rsidR="00615AE6"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Freedom of Information Act 2014 </w:t>
      </w:r>
    </w:p>
    <w:p w14:paraId="3C18BDD6"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Under the Freedom of Information Act 2014, details contained in applications and supporting documents may, on request, be released to third parties. If there is information contained in your application, which is sensitive or confidential in nature, please identify it and provide an explanation as to why it should not be disclosed. If a request to release sensitive information under the legislation is received, you will be consulted before a decision is made </w:t>
      </w:r>
      <w:proofErr w:type="gramStart"/>
      <w:r w:rsidRPr="00147F45">
        <w:rPr>
          <w:rFonts w:ascii="Source Sans Pro" w:hAnsi="Source Sans Pro"/>
          <w:sz w:val="24"/>
          <w:szCs w:val="24"/>
        </w:rPr>
        <w:t>whether or not</w:t>
      </w:r>
      <w:proofErr w:type="gramEnd"/>
      <w:r w:rsidRPr="00147F45">
        <w:rPr>
          <w:rFonts w:ascii="Source Sans Pro" w:hAnsi="Source Sans Pro"/>
          <w:sz w:val="24"/>
          <w:szCs w:val="24"/>
        </w:rPr>
        <w:t xml:space="preserve"> to release the information. However, in the absence of the identification of </w:t>
      </w:r>
      <w:proofErr w:type="gramStart"/>
      <w:r w:rsidRPr="00147F45">
        <w:rPr>
          <w:rFonts w:ascii="Source Sans Pro" w:hAnsi="Source Sans Pro"/>
          <w:sz w:val="24"/>
          <w:szCs w:val="24"/>
        </w:rPr>
        <w:t>particular information</w:t>
      </w:r>
      <w:proofErr w:type="gramEnd"/>
      <w:r w:rsidRPr="00147F45">
        <w:rPr>
          <w:rFonts w:ascii="Source Sans Pro" w:hAnsi="Source Sans Pro"/>
          <w:sz w:val="24"/>
          <w:szCs w:val="24"/>
        </w:rPr>
        <w:t xml:space="preserve"> as sensitive, it could be disclosed without any consultation with you. </w:t>
      </w:r>
    </w:p>
    <w:p w14:paraId="1A54B4ED" w14:textId="77777777" w:rsidR="007B60CA" w:rsidRPr="00147F45" w:rsidRDefault="007B60CA" w:rsidP="00DC7FBE">
      <w:pPr>
        <w:tabs>
          <w:tab w:val="left" w:pos="4828"/>
        </w:tabs>
        <w:rPr>
          <w:rFonts w:ascii="Source Sans Pro" w:hAnsi="Source Sans Pro"/>
          <w:sz w:val="24"/>
          <w:szCs w:val="24"/>
        </w:rPr>
      </w:pPr>
    </w:p>
    <w:p w14:paraId="26839913"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Site Visits </w:t>
      </w:r>
    </w:p>
    <w:p w14:paraId="4DD974FE"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Department, Local Authority, the LCDC, or agents acting on their behalf may carry out unannounced site visits to verify compliance with Programme terms and conditions. </w:t>
      </w:r>
    </w:p>
    <w:p w14:paraId="4195413E" w14:textId="77777777" w:rsidR="007B60CA" w:rsidRPr="00147F45" w:rsidRDefault="007B60CA" w:rsidP="00DC7FBE">
      <w:pPr>
        <w:tabs>
          <w:tab w:val="left" w:pos="4828"/>
        </w:tabs>
        <w:rPr>
          <w:rFonts w:ascii="Source Sans Pro" w:hAnsi="Source Sans Pro"/>
          <w:sz w:val="24"/>
          <w:szCs w:val="24"/>
        </w:rPr>
      </w:pPr>
    </w:p>
    <w:p w14:paraId="68CAA88B"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Further information may be requested </w:t>
      </w:r>
    </w:p>
    <w:p w14:paraId="356C3A9A"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LCDC reserves the right to request further information from you </w:t>
      </w:r>
      <w:proofErr w:type="gramStart"/>
      <w:r w:rsidRPr="00147F45">
        <w:rPr>
          <w:rFonts w:ascii="Source Sans Pro" w:hAnsi="Source Sans Pro"/>
          <w:sz w:val="24"/>
          <w:szCs w:val="24"/>
        </w:rPr>
        <w:t>in order to</w:t>
      </w:r>
      <w:proofErr w:type="gramEnd"/>
      <w:r w:rsidRPr="00147F45">
        <w:rPr>
          <w:rFonts w:ascii="Source Sans Pro" w:hAnsi="Source Sans Pro"/>
          <w:sz w:val="24"/>
          <w:szCs w:val="24"/>
        </w:rPr>
        <w:t xml:space="preserve"> assess your application if so required. </w:t>
      </w:r>
    </w:p>
    <w:p w14:paraId="6A00E166" w14:textId="77777777" w:rsidR="007B60CA" w:rsidRPr="00147F45" w:rsidRDefault="007B60CA" w:rsidP="00DC7FBE">
      <w:pPr>
        <w:tabs>
          <w:tab w:val="left" w:pos="4828"/>
        </w:tabs>
        <w:rPr>
          <w:rFonts w:ascii="Source Sans Pro" w:hAnsi="Source Sans Pro"/>
          <w:sz w:val="24"/>
          <w:szCs w:val="24"/>
        </w:rPr>
      </w:pPr>
    </w:p>
    <w:p w14:paraId="63690D08"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Usage of information </w:t>
      </w:r>
    </w:p>
    <w:p w14:paraId="5636AA01"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information provided on the form will be utilised for the purposes of evaluating and administering the grant process, and to facilitate audits and any site visits. When evaluating the applications received, the LCDC may seek advice and consult with other </w:t>
      </w:r>
      <w:proofErr w:type="gramStart"/>
      <w:r w:rsidRPr="00147F45">
        <w:rPr>
          <w:rFonts w:ascii="Source Sans Pro" w:hAnsi="Source Sans Pro"/>
          <w:sz w:val="24"/>
          <w:szCs w:val="24"/>
        </w:rPr>
        <w:t>agencies, and</w:t>
      </w:r>
      <w:proofErr w:type="gramEnd"/>
      <w:r w:rsidRPr="00147F45">
        <w:rPr>
          <w:rFonts w:ascii="Source Sans Pro" w:hAnsi="Source Sans Pro"/>
          <w:sz w:val="24"/>
          <w:szCs w:val="24"/>
        </w:rPr>
        <w:t xml:space="preserve"> may disclose information on projects under consideration to those experts and agencies. </w:t>
      </w:r>
    </w:p>
    <w:p w14:paraId="3F46960C"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lastRenderedPageBreak/>
        <w:t xml:space="preserve">Other </w:t>
      </w:r>
    </w:p>
    <w:p w14:paraId="4EAAE76D"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Under the programme it is intended that 30% of the funding that is allocated to each Local Authority area will be ring-fenced for grants of </w:t>
      </w:r>
      <w:r w:rsidRPr="00147F45">
        <w:rPr>
          <w:rFonts w:ascii="Source Sans Pro" w:hAnsi="Source Sans Pro" w:cs="Source Sans Pro"/>
          <w:sz w:val="24"/>
          <w:szCs w:val="24"/>
        </w:rPr>
        <w:t>€</w:t>
      </w:r>
      <w:r w:rsidRPr="00147F45">
        <w:rPr>
          <w:rFonts w:ascii="Source Sans Pro" w:hAnsi="Source Sans Pro"/>
          <w:sz w:val="24"/>
          <w:szCs w:val="24"/>
        </w:rPr>
        <w:t xml:space="preserve">1,000 or less. </w:t>
      </w:r>
    </w:p>
    <w:p w14:paraId="14F2FAC6"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Applicant groups shall self-certify that they do not have the funding to undertake the costs, without the grant aid, or alternatively that with the grant they will now undertake a larger project which they otherwise would not be able to afford. </w:t>
      </w:r>
    </w:p>
    <w:p w14:paraId="2120DB5E" w14:textId="048C5E53"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If the funding application is for one element, or a portion of a project, applicants will be required to provide documentary evidence of the availability of the balance of funding for that </w:t>
      </w:r>
      <w:proofErr w:type="gramStart"/>
      <w:r w:rsidRPr="00147F45">
        <w:rPr>
          <w:rFonts w:ascii="Source Sans Pro" w:hAnsi="Source Sans Pro"/>
          <w:sz w:val="24"/>
          <w:szCs w:val="24"/>
        </w:rPr>
        <w:t>particular element</w:t>
      </w:r>
      <w:proofErr w:type="gramEnd"/>
      <w:r w:rsidRPr="00147F45">
        <w:rPr>
          <w:rFonts w:ascii="Source Sans Pro" w:hAnsi="Source Sans Pro"/>
          <w:sz w:val="24"/>
          <w:szCs w:val="24"/>
        </w:rPr>
        <w:t xml:space="preserve"> of that project. </w:t>
      </w:r>
    </w:p>
    <w:p w14:paraId="01BBB231"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There is no limit on the number of applications for different projects from any organisation. However, applicants should be aware that an equity/fairness approach will be taken by the LCDC to ensure an even distribution of funding. </w:t>
      </w:r>
    </w:p>
    <w:p w14:paraId="2A50F95F" w14:textId="6739ECF2"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Maximum Grant under the Funding Scheme is €</w:t>
      </w:r>
      <w:r w:rsidR="007B60CA" w:rsidRPr="00147F45">
        <w:rPr>
          <w:rFonts w:ascii="Source Sans Pro" w:hAnsi="Source Sans Pro"/>
          <w:sz w:val="24"/>
          <w:szCs w:val="24"/>
        </w:rPr>
        <w:t>4,</w:t>
      </w:r>
      <w:r w:rsidRPr="00147F45">
        <w:rPr>
          <w:rFonts w:ascii="Source Sans Pro" w:hAnsi="Source Sans Pro"/>
          <w:sz w:val="24"/>
          <w:szCs w:val="24"/>
        </w:rPr>
        <w:t>000</w:t>
      </w:r>
      <w:r w:rsidR="007B60CA" w:rsidRPr="00147F45">
        <w:rPr>
          <w:rFonts w:ascii="Source Sans Pro" w:hAnsi="Source Sans Pro"/>
          <w:sz w:val="24"/>
          <w:szCs w:val="24"/>
        </w:rPr>
        <w:t>.</w:t>
      </w:r>
      <w:r w:rsidRPr="00147F45">
        <w:rPr>
          <w:rFonts w:ascii="Source Sans Pro" w:hAnsi="Source Sans Pro"/>
          <w:sz w:val="24"/>
          <w:szCs w:val="24"/>
        </w:rPr>
        <w:t xml:space="preserve"> </w:t>
      </w:r>
    </w:p>
    <w:p w14:paraId="257D4FC3"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The Programme is 100% exchequer funded. Applicants are free to leverage other funding/match funding for projects although that is not a requirement of this programme. </w:t>
      </w:r>
      <w:r w:rsidRPr="00147F45">
        <w:rPr>
          <w:rFonts w:ascii="Arial" w:hAnsi="Arial" w:cs="Arial"/>
          <w:sz w:val="24"/>
          <w:szCs w:val="24"/>
        </w:rPr>
        <w:t>▪</w:t>
      </w:r>
      <w:r w:rsidRPr="00147F45">
        <w:rPr>
          <w:rFonts w:ascii="Source Sans Pro" w:hAnsi="Source Sans Pro"/>
          <w:sz w:val="24"/>
          <w:szCs w:val="24"/>
        </w:rPr>
        <w:t xml:space="preserve"> It is the responsibility of the grant applicant to ensure that using this Programme to co</w:t>
      </w:r>
      <w:r w:rsidR="007B60CA" w:rsidRPr="00147F45">
        <w:rPr>
          <w:rFonts w:ascii="Source Sans Pro" w:hAnsi="Source Sans Pro"/>
          <w:sz w:val="24"/>
          <w:szCs w:val="24"/>
        </w:rPr>
        <w:t>-</w:t>
      </w:r>
      <w:r w:rsidRPr="00147F45">
        <w:rPr>
          <w:rFonts w:ascii="Source Sans Pro" w:hAnsi="Source Sans Pro"/>
          <w:sz w:val="24"/>
          <w:szCs w:val="24"/>
        </w:rPr>
        <w:t xml:space="preserve">fund a project does not contradict the rules of the other scheme/programme. Please ensure you consult with the administrators or body responsible for any other funding scheme or programme in this regard. </w:t>
      </w:r>
    </w:p>
    <w:p w14:paraId="1BC036A9"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VAT will only be paid where it is included in the application amount and where proof that the applicant is not registered for VAT is supplied. No further requests for VAT payments or repayments will be accepted. </w:t>
      </w:r>
    </w:p>
    <w:p w14:paraId="1C4E26C9" w14:textId="77777777" w:rsidR="007B60CA" w:rsidRPr="00147F45" w:rsidRDefault="007B60CA" w:rsidP="00DC7FBE">
      <w:pPr>
        <w:tabs>
          <w:tab w:val="left" w:pos="4828"/>
        </w:tabs>
        <w:rPr>
          <w:rFonts w:ascii="Source Sans Pro" w:hAnsi="Source Sans Pro"/>
          <w:sz w:val="24"/>
          <w:szCs w:val="24"/>
        </w:rPr>
      </w:pPr>
    </w:p>
    <w:p w14:paraId="1B522DA8" w14:textId="77777777" w:rsidR="007B60CA" w:rsidRPr="00147F45" w:rsidRDefault="00A97A51"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9. HOW TO APPLY </w:t>
      </w:r>
    </w:p>
    <w:p w14:paraId="48400924" w14:textId="77777777" w:rsidR="007B60CA" w:rsidRPr="00147F45" w:rsidRDefault="007B60CA" w:rsidP="00DC7FBE">
      <w:pPr>
        <w:tabs>
          <w:tab w:val="left" w:pos="4828"/>
        </w:tabs>
        <w:rPr>
          <w:rFonts w:ascii="Source Sans Pro" w:hAnsi="Source Sans Pro"/>
          <w:sz w:val="24"/>
          <w:szCs w:val="24"/>
        </w:rPr>
      </w:pPr>
    </w:p>
    <w:p w14:paraId="5DF65FC8"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Application Form </w:t>
      </w:r>
    </w:p>
    <w:p w14:paraId="09C8A391" w14:textId="77777777" w:rsidR="002E0FA7"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The application form is detailed and is designed to ensure that it has the necessary information to evaluate each proposal accurately and fairly</w:t>
      </w:r>
      <w:r w:rsidRPr="00147F45">
        <w:rPr>
          <w:rFonts w:ascii="Source Sans Pro" w:hAnsi="Source Sans Pro"/>
          <w:b/>
          <w:bCs/>
          <w:sz w:val="24"/>
          <w:szCs w:val="24"/>
        </w:rPr>
        <w:t>. Please ensure that you complete this application form in full and that any documentation in support of your application is submitted with your application.</w:t>
      </w:r>
      <w:r w:rsidRPr="00147F45">
        <w:rPr>
          <w:rFonts w:ascii="Source Sans Pro" w:hAnsi="Source Sans Pro"/>
          <w:sz w:val="24"/>
          <w:szCs w:val="24"/>
        </w:rPr>
        <w:t xml:space="preserve"> </w:t>
      </w:r>
    </w:p>
    <w:p w14:paraId="01627CD7" w14:textId="77777777" w:rsidR="002E0FA7" w:rsidRPr="00147F45" w:rsidRDefault="002E0FA7" w:rsidP="00DC7FBE">
      <w:pPr>
        <w:tabs>
          <w:tab w:val="left" w:pos="4828"/>
        </w:tabs>
        <w:rPr>
          <w:rFonts w:ascii="Source Sans Pro" w:hAnsi="Source Sans Pro"/>
          <w:sz w:val="24"/>
          <w:szCs w:val="24"/>
        </w:rPr>
      </w:pPr>
    </w:p>
    <w:p w14:paraId="759D5C25" w14:textId="77777777" w:rsidR="002E0FA7"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Only projects that meet the criteria outlined above will be considered eligible. </w:t>
      </w:r>
    </w:p>
    <w:p w14:paraId="57A78D2C" w14:textId="77777777" w:rsidR="002E0FA7" w:rsidRPr="00147F45" w:rsidRDefault="002E0FA7" w:rsidP="00DC7FBE">
      <w:pPr>
        <w:tabs>
          <w:tab w:val="left" w:pos="4828"/>
        </w:tabs>
        <w:rPr>
          <w:rFonts w:ascii="Source Sans Pro" w:hAnsi="Source Sans Pro"/>
          <w:sz w:val="24"/>
          <w:szCs w:val="24"/>
        </w:rPr>
      </w:pPr>
    </w:p>
    <w:p w14:paraId="0E21C163" w14:textId="77777777" w:rsidR="002E0FA7"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PLEASE NOTE THAT INCOMPLETE APPLICATIONS OR LATE APPLICATIONS WILL NOT BE CONSIDERED. </w:t>
      </w:r>
    </w:p>
    <w:p w14:paraId="0CF67449" w14:textId="77777777" w:rsidR="002E0FA7" w:rsidRPr="00147F45" w:rsidRDefault="002E0FA7" w:rsidP="00DC7FBE">
      <w:pPr>
        <w:tabs>
          <w:tab w:val="left" w:pos="4828"/>
        </w:tabs>
        <w:rPr>
          <w:rFonts w:ascii="Source Sans Pro" w:hAnsi="Source Sans Pro"/>
          <w:sz w:val="24"/>
          <w:szCs w:val="24"/>
        </w:rPr>
      </w:pPr>
    </w:p>
    <w:p w14:paraId="259E4B17" w14:textId="77777777" w:rsidR="002E0FA7"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Submission of false or misleading information at any stage is treated very seriously. Any organisation that does not comply with the terms and conditions of the Programme may be subject to inspection, have their grant withdrawn, be required to repay all or part of a </w:t>
      </w:r>
      <w:r w:rsidRPr="00147F45">
        <w:rPr>
          <w:rFonts w:ascii="Source Sans Pro" w:hAnsi="Source Sans Pro"/>
          <w:sz w:val="24"/>
          <w:szCs w:val="24"/>
        </w:rPr>
        <w:lastRenderedPageBreak/>
        <w:t xml:space="preserve">grant and/or be barred from making applications for </w:t>
      </w:r>
      <w:proofErr w:type="gramStart"/>
      <w:r w:rsidRPr="00147F45">
        <w:rPr>
          <w:rFonts w:ascii="Source Sans Pro" w:hAnsi="Source Sans Pro"/>
          <w:sz w:val="24"/>
          <w:szCs w:val="24"/>
        </w:rPr>
        <w:t>a period of time</w:t>
      </w:r>
      <w:proofErr w:type="gramEnd"/>
      <w:r w:rsidRPr="00147F45">
        <w:rPr>
          <w:rFonts w:ascii="Source Sans Pro" w:hAnsi="Source Sans Pro"/>
          <w:sz w:val="24"/>
          <w:szCs w:val="24"/>
        </w:rPr>
        <w:t xml:space="preserve">. All serious breaches of the terms and conditions of the Programme will be notified to </w:t>
      </w:r>
      <w:proofErr w:type="gramStart"/>
      <w:r w:rsidRPr="00147F45">
        <w:rPr>
          <w:rFonts w:ascii="Source Sans Pro" w:hAnsi="Source Sans Pro"/>
          <w:sz w:val="24"/>
          <w:szCs w:val="24"/>
        </w:rPr>
        <w:t>An</w:t>
      </w:r>
      <w:proofErr w:type="gramEnd"/>
      <w:r w:rsidRPr="00147F45">
        <w:rPr>
          <w:rFonts w:ascii="Source Sans Pro" w:hAnsi="Source Sans Pro"/>
          <w:sz w:val="24"/>
          <w:szCs w:val="24"/>
        </w:rPr>
        <w:t xml:space="preserve"> Garda Síochána. </w:t>
      </w:r>
    </w:p>
    <w:p w14:paraId="3485CAA4" w14:textId="77777777" w:rsidR="002E0FA7" w:rsidRPr="00147F45" w:rsidRDefault="002E0FA7" w:rsidP="00DC7FBE">
      <w:pPr>
        <w:tabs>
          <w:tab w:val="left" w:pos="4828"/>
        </w:tabs>
        <w:rPr>
          <w:rFonts w:ascii="Source Sans Pro" w:hAnsi="Source Sans Pro"/>
          <w:sz w:val="24"/>
          <w:szCs w:val="24"/>
        </w:rPr>
      </w:pPr>
    </w:p>
    <w:p w14:paraId="3F8CA7FB" w14:textId="3359115A" w:rsidR="002E0FA7" w:rsidRPr="00147F45" w:rsidRDefault="00A97A51" w:rsidP="00DC7FBE">
      <w:pPr>
        <w:tabs>
          <w:tab w:val="left" w:pos="4828"/>
        </w:tabs>
        <w:rPr>
          <w:rFonts w:ascii="Source Sans Pro" w:hAnsi="Source Sans Pro"/>
          <w:sz w:val="24"/>
          <w:szCs w:val="24"/>
        </w:rPr>
      </w:pPr>
      <w:r w:rsidRPr="00147F45">
        <w:rPr>
          <w:rFonts w:ascii="Source Sans Pro" w:hAnsi="Source Sans Pro"/>
          <w:b/>
          <w:bCs/>
          <w:sz w:val="24"/>
          <w:szCs w:val="24"/>
        </w:rPr>
        <w:t>Applications should be completed online at</w:t>
      </w:r>
      <w:r w:rsidRPr="00147F45">
        <w:rPr>
          <w:rFonts w:ascii="Source Sans Pro" w:hAnsi="Source Sans Pro"/>
          <w:sz w:val="24"/>
          <w:szCs w:val="24"/>
        </w:rPr>
        <w:t xml:space="preserve"> </w:t>
      </w:r>
      <w:hyperlink r:id="rId12" w:history="1">
        <w:r w:rsidR="002E0FA7" w:rsidRPr="00147F45">
          <w:rPr>
            <w:rStyle w:val="Hyperlink"/>
            <w:rFonts w:ascii="Source Sans Pro" w:hAnsi="Source Sans Pro"/>
            <w:sz w:val="24"/>
            <w:szCs w:val="24"/>
          </w:rPr>
          <w:t>www.leitrim.ie</w:t>
        </w:r>
      </w:hyperlink>
      <w:r w:rsidRPr="00147F45">
        <w:rPr>
          <w:rFonts w:ascii="Source Sans Pro" w:hAnsi="Source Sans Pro"/>
          <w:sz w:val="24"/>
          <w:szCs w:val="24"/>
        </w:rPr>
        <w:t xml:space="preserve">. </w:t>
      </w:r>
    </w:p>
    <w:p w14:paraId="4B3C4EBB" w14:textId="77777777" w:rsidR="002E0FA7" w:rsidRPr="00147F45" w:rsidRDefault="00A97A51" w:rsidP="00DC7FBE">
      <w:pPr>
        <w:tabs>
          <w:tab w:val="left" w:pos="4828"/>
        </w:tabs>
        <w:rPr>
          <w:rFonts w:ascii="Source Sans Pro" w:hAnsi="Source Sans Pro"/>
          <w:sz w:val="24"/>
          <w:szCs w:val="24"/>
        </w:rPr>
      </w:pPr>
      <w:r w:rsidRPr="00147F45">
        <w:rPr>
          <w:rFonts w:ascii="Source Sans Pro" w:hAnsi="Source Sans Pro"/>
          <w:b/>
          <w:bCs/>
          <w:sz w:val="24"/>
          <w:szCs w:val="24"/>
        </w:rPr>
        <w:t>Closing date is</w:t>
      </w:r>
      <w:r w:rsidRPr="00147F45">
        <w:rPr>
          <w:rFonts w:ascii="Source Sans Pro" w:hAnsi="Source Sans Pro"/>
          <w:sz w:val="24"/>
          <w:szCs w:val="24"/>
        </w:rPr>
        <w:t xml:space="preserve"> Friday </w:t>
      </w:r>
      <w:proofErr w:type="gramStart"/>
      <w:r w:rsidRPr="00147F45">
        <w:rPr>
          <w:rFonts w:ascii="Source Sans Pro" w:hAnsi="Source Sans Pro"/>
          <w:sz w:val="24"/>
          <w:szCs w:val="24"/>
        </w:rPr>
        <w:t>2</w:t>
      </w:r>
      <w:r w:rsidR="002E0FA7" w:rsidRPr="00147F45">
        <w:rPr>
          <w:rFonts w:ascii="Source Sans Pro" w:hAnsi="Source Sans Pro"/>
          <w:sz w:val="24"/>
          <w:szCs w:val="24"/>
        </w:rPr>
        <w:t>7</w:t>
      </w:r>
      <w:r w:rsidRPr="00147F45">
        <w:rPr>
          <w:rFonts w:ascii="Source Sans Pro" w:hAnsi="Source Sans Pro"/>
          <w:sz w:val="24"/>
          <w:szCs w:val="24"/>
        </w:rPr>
        <w:t>st</w:t>
      </w:r>
      <w:proofErr w:type="gramEnd"/>
      <w:r w:rsidRPr="00147F45">
        <w:rPr>
          <w:rFonts w:ascii="Source Sans Pro" w:hAnsi="Source Sans Pro"/>
          <w:sz w:val="24"/>
          <w:szCs w:val="24"/>
        </w:rPr>
        <w:t xml:space="preserve"> February 202</w:t>
      </w:r>
      <w:r w:rsidR="002E0FA7" w:rsidRPr="00147F45">
        <w:rPr>
          <w:rFonts w:ascii="Source Sans Pro" w:hAnsi="Source Sans Pro"/>
          <w:sz w:val="24"/>
          <w:szCs w:val="24"/>
        </w:rPr>
        <w:t>6</w:t>
      </w:r>
      <w:r w:rsidRPr="00147F45">
        <w:rPr>
          <w:rFonts w:ascii="Source Sans Pro" w:hAnsi="Source Sans Pro"/>
          <w:sz w:val="24"/>
          <w:szCs w:val="24"/>
        </w:rPr>
        <w:t xml:space="preserve"> at 4pm. </w:t>
      </w:r>
    </w:p>
    <w:p w14:paraId="55A4EC3C" w14:textId="77777777" w:rsidR="002E0FA7" w:rsidRPr="00147F45" w:rsidRDefault="002E0FA7" w:rsidP="00DC7FBE">
      <w:pPr>
        <w:tabs>
          <w:tab w:val="left" w:pos="4828"/>
        </w:tabs>
        <w:rPr>
          <w:rFonts w:ascii="Source Sans Pro" w:hAnsi="Source Sans Pro"/>
          <w:sz w:val="24"/>
          <w:szCs w:val="24"/>
        </w:rPr>
      </w:pPr>
    </w:p>
    <w:p w14:paraId="7839B145" w14:textId="528872C5" w:rsidR="00A97A51" w:rsidRPr="00147F45" w:rsidRDefault="00A97A51" w:rsidP="00DC7FBE">
      <w:pPr>
        <w:tabs>
          <w:tab w:val="left" w:pos="4828"/>
        </w:tabs>
        <w:rPr>
          <w:rFonts w:ascii="Source Sans Pro" w:hAnsi="Source Sans Pro"/>
          <w:sz w:val="24"/>
          <w:szCs w:val="24"/>
          <w:lang w:val="en-IE"/>
        </w:rPr>
      </w:pPr>
      <w:r w:rsidRPr="00147F45">
        <w:rPr>
          <w:rFonts w:ascii="Source Sans Pro" w:hAnsi="Source Sans Pro"/>
          <w:sz w:val="24"/>
          <w:szCs w:val="24"/>
        </w:rPr>
        <w:t xml:space="preserve">For any queries please email: </w:t>
      </w:r>
      <w:hyperlink r:id="rId13" w:history="1">
        <w:r w:rsidR="002E0FA7" w:rsidRPr="00147F45">
          <w:rPr>
            <w:rStyle w:val="Hyperlink"/>
            <w:rFonts w:ascii="Source Sans Pro" w:hAnsi="Source Sans Pro"/>
            <w:sz w:val="24"/>
            <w:szCs w:val="24"/>
          </w:rPr>
          <w:t>community@leitrimcoco.ie</w:t>
        </w:r>
      </w:hyperlink>
      <w:r w:rsidR="002E0FA7" w:rsidRPr="00147F45">
        <w:rPr>
          <w:rFonts w:ascii="Source Sans Pro" w:hAnsi="Source Sans Pro"/>
          <w:sz w:val="24"/>
          <w:szCs w:val="24"/>
        </w:rPr>
        <w:t xml:space="preserve"> </w:t>
      </w:r>
      <w:r w:rsidRPr="00147F45">
        <w:rPr>
          <w:rFonts w:ascii="Source Sans Pro" w:hAnsi="Source Sans Pro"/>
          <w:sz w:val="24"/>
          <w:szCs w:val="24"/>
        </w:rPr>
        <w:t xml:space="preserve">or call 071962005 </w:t>
      </w:r>
      <w:proofErr w:type="spellStart"/>
      <w:r w:rsidRPr="00147F45">
        <w:rPr>
          <w:rFonts w:ascii="Source Sans Pro" w:hAnsi="Source Sans Pro"/>
          <w:sz w:val="24"/>
          <w:szCs w:val="24"/>
        </w:rPr>
        <w:t>ext</w:t>
      </w:r>
      <w:proofErr w:type="spellEnd"/>
      <w:r w:rsidRPr="00147F45">
        <w:rPr>
          <w:rFonts w:ascii="Source Sans Pro" w:hAnsi="Source Sans Pro"/>
          <w:sz w:val="24"/>
          <w:szCs w:val="24"/>
        </w:rPr>
        <w:t xml:space="preserve"> 855 </w:t>
      </w:r>
    </w:p>
    <w:sectPr w:rsidR="00A97A51" w:rsidRPr="00147F45" w:rsidSect="00527253">
      <w:pgSz w:w="11901" w:h="16840"/>
      <w:pgMar w:top="2552" w:right="1440" w:bottom="1985"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4E59" w14:textId="77777777" w:rsidR="006365B3" w:rsidRDefault="006365B3">
      <w:r>
        <w:separator/>
      </w:r>
    </w:p>
  </w:endnote>
  <w:endnote w:type="continuationSeparator" w:id="0">
    <w:p w14:paraId="13BB780C" w14:textId="77777777" w:rsidR="006365B3" w:rsidRDefault="0063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A2A2" w14:textId="77777777" w:rsidR="006365B3" w:rsidRDefault="006365B3">
      <w:r>
        <w:separator/>
      </w:r>
    </w:p>
  </w:footnote>
  <w:footnote w:type="continuationSeparator" w:id="0">
    <w:p w14:paraId="5B89FC64" w14:textId="77777777" w:rsidR="006365B3" w:rsidRDefault="006365B3">
      <w:r>
        <w:continuationSeparator/>
      </w:r>
    </w:p>
  </w:footnote>
  <w:footnote w:id="1">
    <w:p w14:paraId="2ED8DE37" w14:textId="77777777" w:rsidR="00DC7FBE" w:rsidRDefault="00DC7FBE" w:rsidP="00DC7FBE">
      <w:pPr>
        <w:pStyle w:val="FootnoteText"/>
        <w:jc w:val="both"/>
        <w:rPr>
          <w:rFonts w:ascii="Arial" w:hAnsi="Arial" w:cs="Arial"/>
        </w:rPr>
      </w:pPr>
      <w:r w:rsidRPr="000C4C69">
        <w:rPr>
          <w:rStyle w:val="FootnoteReference"/>
          <w:rFonts w:ascii="Arial" w:hAnsi="Arial" w:cs="Arial"/>
        </w:rPr>
        <w:footnoteRef/>
      </w:r>
      <w:r w:rsidRPr="000C4C69">
        <w:rPr>
          <w:rFonts w:ascii="Arial" w:hAnsi="Arial" w:cs="Arial"/>
        </w:rPr>
        <w:t xml:space="preserve"> </w:t>
      </w:r>
      <w:r>
        <w:rPr>
          <w:rFonts w:ascii="Arial" w:hAnsi="Arial" w:cs="Arial"/>
        </w:rPr>
        <w:t>T</w:t>
      </w:r>
      <w:r w:rsidRPr="006D1A7B">
        <w:rPr>
          <w:rFonts w:ascii="Arial" w:hAnsi="Arial" w:cs="Arial"/>
        </w:rPr>
        <w:t xml:space="preserve">he Department of Education and </w:t>
      </w:r>
      <w:r>
        <w:rPr>
          <w:rFonts w:ascii="Arial" w:hAnsi="Arial" w:cs="Arial"/>
        </w:rPr>
        <w:t>Youth invest</w:t>
      </w:r>
      <w:r w:rsidRPr="006D1A7B">
        <w:rPr>
          <w:rFonts w:ascii="Arial" w:hAnsi="Arial" w:cs="Arial"/>
        </w:rPr>
        <w:t xml:space="preserve"> in DEIS schools and community liaison officers</w:t>
      </w:r>
      <w:r>
        <w:rPr>
          <w:rFonts w:ascii="Arial" w:hAnsi="Arial" w:cs="Arial"/>
        </w:rPr>
        <w:t xml:space="preserve">. </w:t>
      </w:r>
    </w:p>
    <w:p w14:paraId="50D1B833" w14:textId="77777777" w:rsidR="00DC7FBE" w:rsidRDefault="00DC7FBE" w:rsidP="00DC7FBE">
      <w:pPr>
        <w:pStyle w:val="FootnoteText"/>
        <w:jc w:val="both"/>
        <w:rPr>
          <w:rFonts w:ascii="Arial" w:hAnsi="Arial" w:cs="Arial"/>
        </w:rPr>
      </w:pPr>
      <w:r>
        <w:rPr>
          <w:rFonts w:ascii="Arial" w:hAnsi="Arial" w:cs="Arial"/>
        </w:rPr>
        <w:t xml:space="preserve">The </w:t>
      </w:r>
      <w:r w:rsidRPr="006D1A7B">
        <w:rPr>
          <w:rFonts w:ascii="Arial" w:hAnsi="Arial" w:cs="Arial"/>
        </w:rPr>
        <w:t>HSE in</w:t>
      </w:r>
      <w:r>
        <w:rPr>
          <w:rFonts w:ascii="Arial" w:hAnsi="Arial" w:cs="Arial"/>
        </w:rPr>
        <w:t>vest in</w:t>
      </w:r>
      <w:r w:rsidRPr="006D1A7B">
        <w:rPr>
          <w:rFonts w:ascii="Arial" w:hAnsi="Arial" w:cs="Arial"/>
        </w:rPr>
        <w:t xml:space="preserve"> community care services</w:t>
      </w:r>
      <w:r>
        <w:rPr>
          <w:rFonts w:ascii="Arial" w:hAnsi="Arial" w:cs="Arial"/>
        </w:rPr>
        <w:t>.</w:t>
      </w:r>
    </w:p>
    <w:p w14:paraId="18945CAA" w14:textId="77777777" w:rsidR="00DC7FBE" w:rsidRDefault="00DC7FBE" w:rsidP="00DC7FBE">
      <w:pPr>
        <w:pStyle w:val="FootnoteText"/>
        <w:jc w:val="both"/>
        <w:rPr>
          <w:rFonts w:ascii="Arial" w:hAnsi="Arial" w:cs="Arial"/>
        </w:rPr>
      </w:pPr>
      <w:r>
        <w:rPr>
          <w:rFonts w:ascii="Arial" w:hAnsi="Arial" w:cs="Arial"/>
        </w:rPr>
        <w:t>The Department of Social Protection invest</w:t>
      </w:r>
      <w:r w:rsidRPr="006D1A7B">
        <w:rPr>
          <w:rFonts w:ascii="Arial" w:hAnsi="Arial" w:cs="Arial"/>
        </w:rPr>
        <w:t xml:space="preserve"> in </w:t>
      </w:r>
      <w:proofErr w:type="spellStart"/>
      <w:r w:rsidRPr="006D1A7B">
        <w:rPr>
          <w:rFonts w:ascii="Arial" w:hAnsi="Arial" w:cs="Arial"/>
        </w:rPr>
        <w:t>Intreo</w:t>
      </w:r>
      <w:proofErr w:type="spellEnd"/>
      <w:r w:rsidRPr="006D1A7B">
        <w:rPr>
          <w:rFonts w:ascii="Arial" w:hAnsi="Arial" w:cs="Arial"/>
        </w:rPr>
        <w:t xml:space="preserve"> and the Local Employment Service. </w:t>
      </w:r>
    </w:p>
    <w:p w14:paraId="0EB39AF6" w14:textId="77777777" w:rsidR="00DC7FBE" w:rsidRPr="000C4C69" w:rsidRDefault="00DC7FBE" w:rsidP="00DC7FBE">
      <w:pPr>
        <w:pStyle w:val="FootnoteText"/>
        <w:jc w:val="both"/>
        <w:rPr>
          <w:rFonts w:ascii="Arial" w:hAnsi="Arial" w:cs="Arial"/>
        </w:rPr>
      </w:pPr>
      <w:r w:rsidRPr="006D1A7B">
        <w:rPr>
          <w:rFonts w:ascii="Arial" w:hAnsi="Arial" w:cs="Arial"/>
        </w:rPr>
        <w:t>T</w:t>
      </w:r>
      <w:r>
        <w:rPr>
          <w:rFonts w:ascii="Arial" w:hAnsi="Arial" w:cs="Arial"/>
        </w:rPr>
        <w:t>he</w:t>
      </w:r>
      <w:r w:rsidRPr="006D1A7B">
        <w:rPr>
          <w:rFonts w:ascii="Arial" w:hAnsi="Arial" w:cs="Arial"/>
        </w:rPr>
        <w:t xml:space="preserve"> Department of Rural and Community Development </w:t>
      </w:r>
      <w:r>
        <w:rPr>
          <w:rFonts w:ascii="Arial" w:hAnsi="Arial" w:cs="Arial"/>
        </w:rPr>
        <w:t xml:space="preserve">and the Gaeltacht </w:t>
      </w:r>
      <w:r w:rsidRPr="006D1A7B">
        <w:rPr>
          <w:rFonts w:ascii="Arial" w:hAnsi="Arial" w:cs="Arial"/>
        </w:rPr>
        <w:t xml:space="preserve">also </w:t>
      </w:r>
      <w:proofErr w:type="gramStart"/>
      <w:r w:rsidRPr="006D1A7B">
        <w:rPr>
          <w:rFonts w:ascii="Arial" w:hAnsi="Arial" w:cs="Arial"/>
        </w:rPr>
        <w:t>operates</w:t>
      </w:r>
      <w:proofErr w:type="gramEnd"/>
      <w:r w:rsidRPr="006D1A7B">
        <w:rPr>
          <w:rFonts w:ascii="Arial" w:hAnsi="Arial" w:cs="Arial"/>
        </w:rPr>
        <w:t xml:space="preserve"> the </w:t>
      </w:r>
      <w:r w:rsidRPr="00D84B65">
        <w:rPr>
          <w:rFonts w:ascii="Arial" w:hAnsi="Arial" w:cs="Arial"/>
          <w:szCs w:val="24"/>
          <w:lang w:eastAsia="en-IE"/>
        </w:rPr>
        <w:t>SICAP</w:t>
      </w:r>
      <w:r w:rsidRPr="006D1A7B">
        <w:rPr>
          <w:rFonts w:ascii="Arial" w:hAnsi="Arial" w:cs="Arial"/>
          <w:szCs w:val="24"/>
          <w:lang w:eastAsia="en-IE"/>
        </w:rPr>
        <w:t xml:space="preserve"> (Social Inclusion and Community Activation Programme</w:t>
      </w:r>
      <w:r>
        <w:rPr>
          <w:rFonts w:ascii="Arial" w:hAnsi="Arial" w:cs="Arial"/>
          <w:szCs w:val="24"/>
          <w:lang w:eastAsia="en-IE"/>
        </w:rPr>
        <w:t>)</w:t>
      </w:r>
      <w:r w:rsidRPr="006D1A7B">
        <w:rPr>
          <w:rFonts w:ascii="Arial" w:hAnsi="Arial" w:cs="Arial"/>
          <w:szCs w:val="24"/>
          <w:lang w:eastAsia="en-IE"/>
        </w:rPr>
        <w:t xml:space="preserve"> to assist individuals and groups from disadvantaged communities.</w:t>
      </w:r>
    </w:p>
  </w:footnote>
  <w:footnote w:id="2">
    <w:p w14:paraId="118A5CA1" w14:textId="05C40C4E" w:rsidR="00A97A51" w:rsidRDefault="00A97A51" w:rsidP="00A97A51">
      <w:pPr>
        <w:pStyle w:val="FootnoteText"/>
      </w:pPr>
      <w:r>
        <w:rPr>
          <w:rStyle w:val="FootnoteReference"/>
        </w:rPr>
        <w:footnoteRef/>
      </w:r>
      <w:r>
        <w:t xml:space="preserve"> </w:t>
      </w:r>
      <w:r w:rsidRPr="00A97A51">
        <w:rPr>
          <w:lang w:val="en-GB"/>
        </w:rPr>
        <w:t xml:space="preserve">This may include cross-referencing the location of the facility/group (or the area it serves) with the </w:t>
      </w:r>
      <w:proofErr w:type="spellStart"/>
      <w:r w:rsidRPr="00A97A51">
        <w:rPr>
          <w:lang w:val="en-GB"/>
        </w:rPr>
        <w:t>Pobal</w:t>
      </w:r>
      <w:proofErr w:type="spellEnd"/>
      <w:r w:rsidRPr="00A97A51">
        <w:rPr>
          <w:lang w:val="en-GB"/>
        </w:rPr>
        <w:t xml:space="preserve"> Hasse deprivation index which is available on </w:t>
      </w:r>
      <w:hyperlink r:id="rId1" w:history="1">
        <w:r w:rsidRPr="00F05B8E">
          <w:rPr>
            <w:rStyle w:val="Hyperlink"/>
            <w:lang w:val="en-GB"/>
          </w:rPr>
          <w:t>www.pobal.ie</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AE7C" w14:textId="7D90167B" w:rsidR="00056386" w:rsidRDefault="00527253" w:rsidP="00301679">
    <w:pPr>
      <w:pStyle w:val="Header"/>
    </w:pPr>
    <w:r>
      <w:rPr>
        <w:noProof/>
        <w:lang w:eastAsia="en-GB"/>
      </w:rPr>
      <w:drawing>
        <wp:anchor distT="0" distB="0" distL="114300" distR="114300" simplePos="0" relativeHeight="251657728" behindDoc="0" locked="0" layoutInCell="1" allowOverlap="1" wp14:anchorId="706B38CF" wp14:editId="12353FCF">
          <wp:simplePos x="0" y="0"/>
          <wp:positionH relativeFrom="page">
            <wp:posOffset>-28575</wp:posOffset>
          </wp:positionH>
          <wp:positionV relativeFrom="page">
            <wp:posOffset>342900</wp:posOffset>
          </wp:positionV>
          <wp:extent cx="7584301" cy="10734491"/>
          <wp:effectExtent l="0" t="0" r="10795" b="101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son_ltrhd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4301" cy="10734491"/>
                  </a:xfrm>
                  <a:prstGeom prst="rect">
                    <a:avLst/>
                  </a:prstGeom>
                  <a:noFill/>
                  <a:ln>
                    <a:noFill/>
                  </a:ln>
                </pic:spPr>
              </pic:pic>
            </a:graphicData>
          </a:graphic>
          <wp14:sizeRelH relativeFrom="page">
            <wp14:pctWidth>0</wp14:pctWidth>
          </wp14:sizeRelH>
          <wp14:sizeRelV relativeFrom="page">
            <wp14:pctHeight>0</wp14:pctHeight>
          </wp14:sizeRelV>
        </wp:anchor>
      </w:drawing>
    </w:r>
    <w:r w:rsidR="009C239F">
      <w:rPr>
        <w:noProof/>
        <w:lang w:eastAsia="en-GB"/>
      </w:rPr>
      <mc:AlternateContent>
        <mc:Choice Requires="wps">
          <w:drawing>
            <wp:anchor distT="0" distB="0" distL="114300" distR="114300" simplePos="0" relativeHeight="251659776" behindDoc="0" locked="0" layoutInCell="1" allowOverlap="1" wp14:anchorId="1EB3D8E1" wp14:editId="1BBB73B5">
              <wp:simplePos x="0" y="0"/>
              <wp:positionH relativeFrom="column">
                <wp:posOffset>38735</wp:posOffset>
              </wp:positionH>
              <wp:positionV relativeFrom="page">
                <wp:posOffset>480907</wp:posOffset>
              </wp:positionV>
              <wp:extent cx="4063365" cy="518160"/>
              <wp:effectExtent l="0" t="0" r="635" b="15240"/>
              <wp:wrapNone/>
              <wp:docPr id="1" name="Text Box 1"/>
              <wp:cNvGraphicFramePr/>
              <a:graphic xmlns:a="http://schemas.openxmlformats.org/drawingml/2006/main">
                <a:graphicData uri="http://schemas.microsoft.com/office/word/2010/wordprocessingShape">
                  <wps:wsp>
                    <wps:cNvSpPr txBox="1"/>
                    <wps:spPr>
                      <a:xfrm>
                        <a:off x="0" y="0"/>
                        <a:ext cx="4063365" cy="518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9CA9CB" w14:textId="64AC8E26" w:rsidR="009C239F" w:rsidRPr="009C239F" w:rsidRDefault="00DC7FBE">
                          <w:pPr>
                            <w:rPr>
                              <w:rFonts w:asciiTheme="minorHAnsi" w:hAnsiTheme="minorHAnsi"/>
                              <w:b/>
                              <w:sz w:val="24"/>
                              <w:szCs w:val="24"/>
                            </w:rPr>
                          </w:pPr>
                          <w:r w:rsidRPr="00DC7FBE">
                            <w:rPr>
                              <w:rFonts w:asciiTheme="minorHAnsi" w:hAnsiTheme="minorHAnsi"/>
                              <w:b/>
                              <w:sz w:val="24"/>
                              <w:szCs w:val="24"/>
                            </w:rPr>
                            <w:t>LEP 202</w:t>
                          </w:r>
                          <w:r>
                            <w:rPr>
                              <w:rFonts w:asciiTheme="minorHAnsi" w:hAnsiTheme="minorHAnsi"/>
                              <w:b/>
                              <w:sz w:val="24"/>
                              <w:szCs w:val="24"/>
                            </w:rPr>
                            <w:t xml:space="preserve">6 </w:t>
                          </w:r>
                          <w:r w:rsidRPr="00DC7FBE">
                            <w:rPr>
                              <w:rFonts w:asciiTheme="minorHAnsi" w:hAnsiTheme="minorHAnsi"/>
                              <w:b/>
                              <w:sz w:val="24"/>
                              <w:szCs w:val="24"/>
                            </w:rPr>
                            <w:t>- Guidelines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3D8E1" id="_x0000_t202" coordsize="21600,21600" o:spt="202" path="m,l,21600r21600,l21600,xe">
              <v:stroke joinstyle="miter"/>
              <v:path gradientshapeok="t" o:connecttype="rect"/>
            </v:shapetype>
            <v:shape id="Text Box 1" o:spid="_x0000_s1026" type="#_x0000_t202" style="position:absolute;margin-left:3.05pt;margin-top:37.85pt;width:319.95pt;height:4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ZEWQIAACYFAAAOAAAAZHJzL2Uyb0RvYy54bWysVN9P2zAQfp+0/8Hy+0gLo0I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z8OJmdnMxOpdB8dzo9m84yrsWzd8BInw00IgmlRB5L&#10;RkvtbiJxRjYdTVIyD9e1c3k0zv+mYMNeY/JsB+/ngrNEe2eSl/NfjRV1letOiswqc+lQ7BTzQWlt&#10;POWWc1y2TlaWc7/FcbBPrn1Vb3E+eOTM4Ong3NQeMKP0quzq+1iy7e0Zvxd9J5G6dTcMcg3VnueL&#10;0FM/Bn1d8xBuVKR7hcx1HinvL93xYR20pYRBkmID+PNv+mTPFORbKVrenVLGH1uFRgr3xTM506KN&#10;Ao7CehT8trkEhn/KL0PQWWQHJDeKFqF55LVepix8pbzmXKXUhOPPJfU7zA+DNstlNuOFCopu/Cro&#10;FDwBmkj10D0qDAPziDl7C+NeqfkrAva2ydPDcktg68zOBGmP4wA1L2Mm7fBwpG1/+Z+tnp+3xS8A&#10;AAD//wMAUEsDBBQABgAIAAAAIQCYEYE63QAAAAgBAAAPAAAAZHJzL2Rvd25yZXYueG1sTI9BTsMw&#10;EEX3SNzBGiQ2iDoFmqAQpypFlBWLFA4wjadJ1HgcxW4bOD3DCpaj//Tn/WI5uV6daAydZwPzWQKK&#10;uPa248bA58fr7SOoEJEt9p7JwBcFWJaXFwXm1p+5otM2NkpKOORooI1xyLUOdUsOw8wPxJLt/egw&#10;yjk22o54lnLX67skSbXDjuVDiwOtW6oP26MzQKvKf78fwsZVzy/rzb5jutFvxlxfTasnUJGm+AfD&#10;r76oQylOO39kG1RvIJ0LaCBbZKAkTh9SmbYTbpHdgy4L/X9A+QMAAP//AwBQSwECLQAUAAYACAAA&#10;ACEAtoM4kv4AAADhAQAAEwAAAAAAAAAAAAAAAAAAAAAAW0NvbnRlbnRfVHlwZXNdLnhtbFBLAQIt&#10;ABQABgAIAAAAIQA4/SH/1gAAAJQBAAALAAAAAAAAAAAAAAAAAC8BAABfcmVscy8ucmVsc1BLAQIt&#10;ABQABgAIAAAAIQAvR6ZEWQIAACYFAAAOAAAAAAAAAAAAAAAAAC4CAABkcnMvZTJvRG9jLnhtbFBL&#10;AQItABQABgAIAAAAIQCYEYE63QAAAAgBAAAPAAAAAAAAAAAAAAAAALMEAABkcnMvZG93bnJldi54&#10;bWxQSwUGAAAAAAQABADzAAAAvQUAAAAA&#10;" filled="f" stroked="f">
              <v:textbox inset="0,0,0,0">
                <w:txbxContent>
                  <w:p w14:paraId="7A9CA9CB" w14:textId="64AC8E26" w:rsidR="009C239F" w:rsidRPr="009C239F" w:rsidRDefault="00DC7FBE">
                    <w:pPr>
                      <w:rPr>
                        <w:rFonts w:asciiTheme="minorHAnsi" w:hAnsiTheme="minorHAnsi"/>
                        <w:b/>
                        <w:sz w:val="24"/>
                        <w:szCs w:val="24"/>
                      </w:rPr>
                    </w:pPr>
                    <w:r w:rsidRPr="00DC7FBE">
                      <w:rPr>
                        <w:rFonts w:asciiTheme="minorHAnsi" w:hAnsiTheme="minorHAnsi"/>
                        <w:b/>
                        <w:sz w:val="24"/>
                        <w:szCs w:val="24"/>
                      </w:rPr>
                      <w:t>LEP 202</w:t>
                    </w:r>
                    <w:r>
                      <w:rPr>
                        <w:rFonts w:asciiTheme="minorHAnsi" w:hAnsiTheme="minorHAnsi"/>
                        <w:b/>
                        <w:sz w:val="24"/>
                        <w:szCs w:val="24"/>
                      </w:rPr>
                      <w:t xml:space="preserve">6 </w:t>
                    </w:r>
                    <w:r w:rsidRPr="00DC7FBE">
                      <w:rPr>
                        <w:rFonts w:asciiTheme="minorHAnsi" w:hAnsiTheme="minorHAnsi"/>
                        <w:b/>
                        <w:sz w:val="24"/>
                        <w:szCs w:val="24"/>
                      </w:rPr>
                      <w:t>- Guidelines</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3344" w14:textId="68F913B5" w:rsidR="00BE5492" w:rsidRDefault="00BE5492">
    <w:pPr>
      <w:pStyle w:val="Header"/>
    </w:pPr>
    <w:r>
      <w:rPr>
        <w:noProof/>
        <w:lang w:eastAsia="en-GB"/>
      </w:rPr>
      <w:drawing>
        <wp:anchor distT="0" distB="0" distL="114300" distR="114300" simplePos="0" relativeHeight="251658752" behindDoc="1" locked="0" layoutInCell="1" allowOverlap="1" wp14:anchorId="4464D8AB" wp14:editId="0E748607">
          <wp:simplePos x="0" y="0"/>
          <wp:positionH relativeFrom="page">
            <wp:align>left</wp:align>
          </wp:positionH>
          <wp:positionV relativeFrom="page">
            <wp:align>top</wp:align>
          </wp:positionV>
          <wp:extent cx="7554279" cy="10691999"/>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C-Letterhead-Word-BG.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279" cy="106919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592229779">
    <w:abstractNumId w:val="1"/>
  </w:num>
  <w:num w:numId="2" w16cid:durableId="145590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proofState w:spelling="clean" w:grammar="clean"/>
  <w:mailMerge>
    <w:mainDocumentType w:val="formLetters"/>
    <w:dataType w:val="textFile"/>
    <w:activeRecord w:val="-1"/>
  </w:mailMerge>
  <w:revisionView w:markup="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aderSource" w:val="C:\OPSIS\header\ConvPurc.hdr"/>
    <w:docVar w:name="PrecedentCode" w:val="BCP001"/>
  </w:docVars>
  <w:rsids>
    <w:rsidRoot w:val="00B8551D"/>
    <w:rsid w:val="00056386"/>
    <w:rsid w:val="00136F29"/>
    <w:rsid w:val="00147F45"/>
    <w:rsid w:val="00166741"/>
    <w:rsid w:val="00211AA3"/>
    <w:rsid w:val="00265B99"/>
    <w:rsid w:val="002E0FA7"/>
    <w:rsid w:val="00301679"/>
    <w:rsid w:val="00396939"/>
    <w:rsid w:val="003D6658"/>
    <w:rsid w:val="004032A0"/>
    <w:rsid w:val="004E7D2D"/>
    <w:rsid w:val="00514A9E"/>
    <w:rsid w:val="00527253"/>
    <w:rsid w:val="005E6FA6"/>
    <w:rsid w:val="00615AE6"/>
    <w:rsid w:val="00617FE5"/>
    <w:rsid w:val="006365B3"/>
    <w:rsid w:val="007B2428"/>
    <w:rsid w:val="007B60CA"/>
    <w:rsid w:val="007E3069"/>
    <w:rsid w:val="00871964"/>
    <w:rsid w:val="00875D78"/>
    <w:rsid w:val="00996D29"/>
    <w:rsid w:val="009C239F"/>
    <w:rsid w:val="009D63EB"/>
    <w:rsid w:val="00A72A70"/>
    <w:rsid w:val="00A96122"/>
    <w:rsid w:val="00A97A51"/>
    <w:rsid w:val="00AF311A"/>
    <w:rsid w:val="00B0574A"/>
    <w:rsid w:val="00B14C6B"/>
    <w:rsid w:val="00B53710"/>
    <w:rsid w:val="00B8551D"/>
    <w:rsid w:val="00BE5492"/>
    <w:rsid w:val="00C64F82"/>
    <w:rsid w:val="00DC7FBE"/>
    <w:rsid w:val="00DF3FE4"/>
    <w:rsid w:val="00DF7848"/>
    <w:rsid w:val="00E75305"/>
    <w:rsid w:val="00E75EB9"/>
    <w:rsid w:val="00EB5642"/>
    <w:rsid w:val="00EC67E3"/>
    <w:rsid w:val="00F6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A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outlineLvl w:val="0"/>
    </w:pPr>
    <w:rPr>
      <w:rFonts w:ascii="Arial" w:hAnsi="Arial" w:cs="Arial"/>
      <w:b/>
      <w:bCs/>
      <w:caps/>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6386"/>
    <w:pPr>
      <w:tabs>
        <w:tab w:val="center" w:pos="4153"/>
        <w:tab w:val="right" w:pos="8306"/>
      </w:tabs>
    </w:pPr>
  </w:style>
  <w:style w:type="paragraph" w:styleId="Footer">
    <w:name w:val="footer"/>
    <w:basedOn w:val="Normal"/>
    <w:rsid w:val="00056386"/>
    <w:pPr>
      <w:tabs>
        <w:tab w:val="center" w:pos="4153"/>
        <w:tab w:val="right" w:pos="8306"/>
      </w:tabs>
    </w:pPr>
  </w:style>
  <w:style w:type="paragraph" w:styleId="NoSpacing">
    <w:name w:val="No Spacing"/>
    <w:link w:val="NoSpacingChar"/>
    <w:uiPriority w:val="1"/>
    <w:qFormat/>
    <w:rsid w:val="00527253"/>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527253"/>
    <w:rPr>
      <w:rFonts w:asciiTheme="minorHAnsi" w:eastAsiaTheme="minorEastAsia" w:hAnsiTheme="minorHAnsi" w:cstheme="minorBidi"/>
      <w:sz w:val="22"/>
      <w:szCs w:val="22"/>
      <w:lang w:eastAsia="zh-CN"/>
    </w:rPr>
  </w:style>
  <w:style w:type="paragraph" w:styleId="FootnoteText">
    <w:name w:val="footnote text"/>
    <w:basedOn w:val="Normal"/>
    <w:link w:val="FootnoteTextChar"/>
    <w:uiPriority w:val="99"/>
    <w:semiHidden/>
    <w:unhideWhenUsed/>
    <w:rsid w:val="00DC7FBE"/>
    <w:rPr>
      <w:rFonts w:asciiTheme="minorHAnsi" w:eastAsiaTheme="minorHAnsi" w:hAnsiTheme="minorHAnsi" w:cstheme="minorBidi"/>
      <w:lang w:val="en-IE"/>
    </w:rPr>
  </w:style>
  <w:style w:type="character" w:customStyle="1" w:styleId="FootnoteTextChar">
    <w:name w:val="Footnote Text Char"/>
    <w:basedOn w:val="DefaultParagraphFont"/>
    <w:link w:val="FootnoteText"/>
    <w:uiPriority w:val="99"/>
    <w:semiHidden/>
    <w:rsid w:val="00DC7FBE"/>
    <w:rPr>
      <w:rFonts w:asciiTheme="minorHAnsi" w:eastAsiaTheme="minorHAnsi" w:hAnsiTheme="minorHAnsi" w:cstheme="minorBidi"/>
      <w:lang w:val="en-IE"/>
    </w:rPr>
  </w:style>
  <w:style w:type="character" w:styleId="FootnoteReference">
    <w:name w:val="footnote reference"/>
    <w:basedOn w:val="DefaultParagraphFont"/>
    <w:uiPriority w:val="99"/>
    <w:semiHidden/>
    <w:unhideWhenUsed/>
    <w:rsid w:val="00DC7FBE"/>
    <w:rPr>
      <w:vertAlign w:val="superscript"/>
    </w:rPr>
  </w:style>
  <w:style w:type="character" w:styleId="Strong">
    <w:name w:val="Strong"/>
    <w:basedOn w:val="DefaultParagraphFont"/>
    <w:uiPriority w:val="22"/>
    <w:qFormat/>
    <w:rsid w:val="00DC7FBE"/>
    <w:rPr>
      <w:b/>
      <w:bC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DC7FBE"/>
    <w:pPr>
      <w:spacing w:after="160" w:line="259" w:lineRule="auto"/>
      <w:ind w:left="720"/>
      <w:contextualSpacing/>
    </w:pPr>
    <w:rPr>
      <w:rFonts w:asciiTheme="minorHAnsi" w:eastAsiaTheme="minorHAnsi" w:hAnsiTheme="minorHAnsi" w:cstheme="minorBidi"/>
      <w:sz w:val="22"/>
      <w:szCs w:val="22"/>
      <w:lang w:val="en-I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DC7FBE"/>
    <w:rPr>
      <w:rFonts w:asciiTheme="minorHAnsi" w:eastAsiaTheme="minorHAnsi" w:hAnsiTheme="minorHAnsi" w:cstheme="minorBidi"/>
      <w:sz w:val="22"/>
      <w:szCs w:val="22"/>
      <w:lang w:val="en-IE"/>
    </w:rPr>
  </w:style>
  <w:style w:type="character" w:styleId="Hyperlink">
    <w:name w:val="Hyperlink"/>
    <w:basedOn w:val="DefaultParagraphFont"/>
    <w:uiPriority w:val="99"/>
    <w:unhideWhenUsed/>
    <w:rsid w:val="007E3069"/>
    <w:rPr>
      <w:color w:val="0563C1" w:themeColor="hyperlink"/>
      <w:u w:val="single"/>
    </w:rPr>
  </w:style>
  <w:style w:type="character" w:styleId="UnresolvedMention">
    <w:name w:val="Unresolved Mention"/>
    <w:basedOn w:val="DefaultParagraphFont"/>
    <w:uiPriority w:val="99"/>
    <w:rsid w:val="007E3069"/>
    <w:rPr>
      <w:color w:val="605E5C"/>
      <w:shd w:val="clear" w:color="auto" w:fill="E1DFDD"/>
    </w:rPr>
  </w:style>
  <w:style w:type="character" w:styleId="FollowedHyperlink">
    <w:name w:val="FollowedHyperlink"/>
    <w:basedOn w:val="DefaultParagraphFont"/>
    <w:uiPriority w:val="99"/>
    <w:semiHidden/>
    <w:unhideWhenUsed/>
    <w:rsid w:val="007E30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142">
      <w:bodyDiv w:val="1"/>
      <w:marLeft w:val="0"/>
      <w:marRight w:val="0"/>
      <w:marTop w:val="0"/>
      <w:marBottom w:val="0"/>
      <w:divBdr>
        <w:top w:val="none" w:sz="0" w:space="0" w:color="auto"/>
        <w:left w:val="none" w:sz="0" w:space="0" w:color="auto"/>
        <w:bottom w:val="none" w:sz="0" w:space="0" w:color="auto"/>
        <w:right w:val="none" w:sz="0" w:space="0" w:color="auto"/>
      </w:divBdr>
    </w:div>
    <w:div w:id="152724094">
      <w:bodyDiv w:val="1"/>
      <w:marLeft w:val="0"/>
      <w:marRight w:val="0"/>
      <w:marTop w:val="0"/>
      <w:marBottom w:val="0"/>
      <w:divBdr>
        <w:top w:val="none" w:sz="0" w:space="0" w:color="auto"/>
        <w:left w:val="none" w:sz="0" w:space="0" w:color="auto"/>
        <w:bottom w:val="none" w:sz="0" w:space="0" w:color="auto"/>
        <w:right w:val="none" w:sz="0" w:space="0" w:color="auto"/>
      </w:divBdr>
    </w:div>
    <w:div w:id="844982150">
      <w:bodyDiv w:val="1"/>
      <w:marLeft w:val="0"/>
      <w:marRight w:val="0"/>
      <w:marTop w:val="0"/>
      <w:marBottom w:val="0"/>
      <w:divBdr>
        <w:top w:val="none" w:sz="0" w:space="0" w:color="auto"/>
        <w:left w:val="none" w:sz="0" w:space="0" w:color="auto"/>
        <w:bottom w:val="none" w:sz="0" w:space="0" w:color="auto"/>
        <w:right w:val="none" w:sz="0" w:space="0" w:color="auto"/>
      </w:divBdr>
    </w:div>
    <w:div w:id="1341397475">
      <w:bodyDiv w:val="1"/>
      <w:marLeft w:val="0"/>
      <w:marRight w:val="0"/>
      <w:marTop w:val="0"/>
      <w:marBottom w:val="0"/>
      <w:divBdr>
        <w:top w:val="none" w:sz="0" w:space="0" w:color="auto"/>
        <w:left w:val="none" w:sz="0" w:space="0" w:color="auto"/>
        <w:bottom w:val="none" w:sz="0" w:space="0" w:color="auto"/>
        <w:right w:val="none" w:sz="0" w:space="0" w:color="auto"/>
      </w:divBdr>
    </w:div>
    <w:div w:id="134423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ty@leitrimcoc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itrim.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governancecode.ie/code.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irculars.gov.ie/pdf/circular/per/2014/1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obal.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EE0744-1CF6-0748-967A-8E98E41D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2004-06-04T14:39:00Z</cp:lastPrinted>
  <dcterms:created xsi:type="dcterms:W3CDTF">2026-01-22T10:46:00Z</dcterms:created>
  <dcterms:modified xsi:type="dcterms:W3CDTF">2026-01-22T11:48:00Z</dcterms:modified>
  <cp:category/>
</cp:coreProperties>
</file>